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BE0" w:rsidRPr="00673434" w:rsidRDefault="00456BE0" w:rsidP="00456BE0">
      <w:pPr>
        <w:spacing w:after="0" w:line="240" w:lineRule="auto"/>
        <w:rPr>
          <w:rFonts w:ascii="Times New Roman" w:hAnsi="Times New Roman" w:cs="Times New Roman"/>
          <w:lang w:val="sr-Cyrl-CS"/>
        </w:rPr>
      </w:pPr>
      <w:bookmarkStart w:id="0" w:name="_GoBack"/>
      <w:bookmarkEnd w:id="0"/>
      <w:r w:rsidRPr="00673434">
        <w:rPr>
          <w:rFonts w:ascii="Times New Roman" w:hAnsi="Times New Roman" w:cs="Times New Roman"/>
          <w:lang w:val="sr-Cyrl-CS"/>
        </w:rPr>
        <w:t>Др Милош Ковачевић, редовни професор за Савремени српски језик и Општу лингвистику</w:t>
      </w:r>
    </w:p>
    <w:p w:rsidR="00456BE0" w:rsidRPr="00673434" w:rsidRDefault="00456BE0" w:rsidP="00456BE0">
      <w:pPr>
        <w:spacing w:after="0" w:line="240" w:lineRule="auto"/>
        <w:rPr>
          <w:rFonts w:ascii="Times New Roman" w:hAnsi="Times New Roman" w:cs="Times New Roman"/>
          <w:lang w:val="sr-Latn-CS"/>
        </w:rPr>
      </w:pPr>
      <w:r w:rsidRPr="00673434">
        <w:rPr>
          <w:rFonts w:ascii="Times New Roman" w:hAnsi="Times New Roman" w:cs="Times New Roman"/>
          <w:lang w:val="sr-Cyrl-CS"/>
        </w:rPr>
        <w:t>на Филолошком факултету у Београду и Филолошко-уметничком факултету у Крагује</w:t>
      </w:r>
      <w:r w:rsidRPr="00673434">
        <w:rPr>
          <w:rFonts w:ascii="Times New Roman" w:hAnsi="Times New Roman" w:cs="Times New Roman"/>
          <w:lang w:val="sr-Latn-CS"/>
        </w:rPr>
        <w:t>вцу</w:t>
      </w:r>
    </w:p>
    <w:p w:rsidR="00456BE0" w:rsidRPr="00673434" w:rsidRDefault="00456BE0" w:rsidP="00456BE0">
      <w:pPr>
        <w:spacing w:after="0" w:line="240" w:lineRule="auto"/>
        <w:rPr>
          <w:rFonts w:ascii="Times New Roman" w:hAnsi="Times New Roman" w:cs="Times New Roman"/>
          <w:sz w:val="24"/>
          <w:szCs w:val="24"/>
          <w:lang w:val="sr-Cyrl-CS"/>
        </w:rPr>
      </w:pPr>
    </w:p>
    <w:p w:rsidR="00673434" w:rsidRDefault="00456BE0" w:rsidP="00673434">
      <w:pPr>
        <w:spacing w:after="0"/>
        <w:jc w:val="both"/>
        <w:rPr>
          <w:rFonts w:ascii="Times New Roman" w:hAnsi="Times New Roman"/>
          <w:iCs/>
          <w:color w:val="222222"/>
          <w:sz w:val="24"/>
          <w:szCs w:val="24"/>
          <w:lang w:val="sr-Cyrl-CS"/>
        </w:rPr>
      </w:pPr>
      <w:r w:rsidRPr="00673434">
        <w:rPr>
          <w:rFonts w:ascii="Times New Roman" w:hAnsi="Times New Roman" w:cs="Times New Roman"/>
          <w:sz w:val="24"/>
          <w:szCs w:val="24"/>
          <w:lang w:val="sr-Cyrl-CS"/>
        </w:rPr>
        <w:t xml:space="preserve">                Рецензија монографије </w:t>
      </w:r>
      <w:r w:rsidR="00673434" w:rsidRPr="00673434">
        <w:rPr>
          <w:rFonts w:ascii="Times New Roman" w:eastAsia="Calibri" w:hAnsi="Times New Roman" w:cs="Times New Roman"/>
          <w:i/>
          <w:iCs/>
          <w:color w:val="222222"/>
          <w:sz w:val="24"/>
          <w:szCs w:val="24"/>
        </w:rPr>
        <w:t>О КОНГРУЕН</w:t>
      </w:r>
      <w:r w:rsidR="00673434" w:rsidRPr="00673434">
        <w:rPr>
          <w:rFonts w:ascii="Times New Roman" w:hAnsi="Times New Roman"/>
          <w:i/>
          <w:iCs/>
          <w:color w:val="222222"/>
          <w:sz w:val="24"/>
          <w:szCs w:val="24"/>
        </w:rPr>
        <w:t xml:space="preserve">ЦИЈИ ПРЕДИКАТА СА ДИСЈУНКТИВНИМ </w:t>
      </w:r>
      <w:r w:rsidR="00673434" w:rsidRPr="00673434">
        <w:rPr>
          <w:rFonts w:ascii="Times New Roman" w:eastAsia="Calibri" w:hAnsi="Times New Roman" w:cs="Times New Roman"/>
          <w:i/>
          <w:iCs/>
          <w:color w:val="222222"/>
          <w:sz w:val="24"/>
          <w:szCs w:val="24"/>
        </w:rPr>
        <w:t xml:space="preserve">СУБЈЕКТОМ </w:t>
      </w:r>
      <w:r w:rsidR="00673434" w:rsidRPr="00673434">
        <w:rPr>
          <w:rFonts w:ascii="Times New Roman" w:hAnsi="Times New Roman"/>
          <w:i/>
          <w:iCs/>
          <w:color w:val="222222"/>
          <w:sz w:val="24"/>
          <w:szCs w:val="24"/>
        </w:rPr>
        <w:t xml:space="preserve"> </w:t>
      </w:r>
      <w:r w:rsidR="00673434" w:rsidRPr="00673434">
        <w:rPr>
          <w:rFonts w:ascii="Times New Roman" w:eastAsia="Calibri" w:hAnsi="Times New Roman" w:cs="Times New Roman"/>
          <w:i/>
          <w:iCs/>
          <w:color w:val="222222"/>
          <w:sz w:val="24"/>
          <w:szCs w:val="24"/>
        </w:rPr>
        <w:t>У СРПСКОМ ЈЕЗИКУ</w:t>
      </w:r>
      <w:r w:rsidR="00673434" w:rsidRPr="00673434">
        <w:rPr>
          <w:rFonts w:ascii="Times New Roman" w:hAnsi="Times New Roman"/>
          <w:iCs/>
          <w:color w:val="222222"/>
          <w:sz w:val="24"/>
          <w:szCs w:val="24"/>
        </w:rPr>
        <w:t xml:space="preserve"> </w:t>
      </w:r>
      <w:proofErr w:type="spellStart"/>
      <w:r w:rsidR="00673434" w:rsidRPr="00673434">
        <w:rPr>
          <w:rFonts w:ascii="Times New Roman" w:hAnsi="Times New Roman"/>
          <w:iCs/>
          <w:color w:val="222222"/>
          <w:sz w:val="24"/>
          <w:szCs w:val="24"/>
        </w:rPr>
        <w:t>Иване</w:t>
      </w:r>
      <w:proofErr w:type="spellEnd"/>
      <w:r w:rsidR="00673434" w:rsidRPr="00673434">
        <w:rPr>
          <w:rFonts w:ascii="Times New Roman" w:hAnsi="Times New Roman"/>
          <w:iCs/>
          <w:color w:val="222222"/>
          <w:sz w:val="24"/>
          <w:szCs w:val="24"/>
        </w:rPr>
        <w:t xml:space="preserve"> </w:t>
      </w:r>
      <w:proofErr w:type="spellStart"/>
      <w:r w:rsidR="00673434" w:rsidRPr="00673434">
        <w:rPr>
          <w:rFonts w:ascii="Times New Roman" w:hAnsi="Times New Roman"/>
          <w:iCs/>
          <w:color w:val="222222"/>
          <w:sz w:val="24"/>
          <w:szCs w:val="24"/>
        </w:rPr>
        <w:t>Митић</w:t>
      </w:r>
      <w:proofErr w:type="spellEnd"/>
      <w:r w:rsidR="00673434" w:rsidRPr="00673434">
        <w:rPr>
          <w:rFonts w:ascii="Times New Roman" w:hAnsi="Times New Roman"/>
          <w:iCs/>
          <w:color w:val="222222"/>
          <w:sz w:val="24"/>
          <w:szCs w:val="24"/>
        </w:rPr>
        <w:t xml:space="preserve"> </w:t>
      </w:r>
    </w:p>
    <w:p w:rsidR="00673434" w:rsidRPr="00673434" w:rsidRDefault="00673434" w:rsidP="00673434">
      <w:pPr>
        <w:spacing w:after="0"/>
        <w:jc w:val="both"/>
        <w:rPr>
          <w:rFonts w:ascii="Times New Roman" w:eastAsia="Calibri" w:hAnsi="Times New Roman" w:cs="Times New Roman"/>
          <w:iCs/>
          <w:color w:val="222222"/>
          <w:sz w:val="24"/>
          <w:szCs w:val="24"/>
          <w:lang w:val="sr-Cyrl-CS"/>
        </w:rPr>
      </w:pPr>
    </w:p>
    <w:p w:rsidR="00D14AC3" w:rsidRPr="00D243D7" w:rsidRDefault="00673434" w:rsidP="00D243D7">
      <w:pPr>
        <w:spacing w:after="0" w:line="240" w:lineRule="auto"/>
        <w:jc w:val="both"/>
        <w:rPr>
          <w:rFonts w:ascii="Times New Roman" w:hAnsi="Times New Roman" w:cs="Times New Roman"/>
          <w:sz w:val="24"/>
          <w:szCs w:val="24"/>
          <w:lang w:val="sr-Cyrl-CS"/>
        </w:rPr>
      </w:pPr>
      <w:r w:rsidRPr="00D243D7">
        <w:rPr>
          <w:rFonts w:ascii="Times New Roman" w:hAnsi="Times New Roman" w:cs="Times New Roman"/>
          <w:sz w:val="24"/>
          <w:szCs w:val="24"/>
        </w:rPr>
        <w:t xml:space="preserve"> </w:t>
      </w:r>
      <w:r w:rsidR="00D14AC3" w:rsidRPr="00D243D7">
        <w:rPr>
          <w:rFonts w:ascii="Times New Roman" w:hAnsi="Times New Roman" w:cs="Times New Roman"/>
          <w:sz w:val="24"/>
          <w:szCs w:val="24"/>
          <w:lang w:val="sr-Cyrl-CS"/>
        </w:rPr>
        <w:t xml:space="preserve">     Монографија </w:t>
      </w:r>
      <w:r w:rsidRPr="00D243D7">
        <w:rPr>
          <w:rFonts w:ascii="Times New Roman" w:hAnsi="Times New Roman" w:cs="Times New Roman"/>
          <w:sz w:val="24"/>
          <w:szCs w:val="24"/>
          <w:lang w:val="sr-Cyrl-CS"/>
        </w:rPr>
        <w:t xml:space="preserve">Иване З. Митић </w:t>
      </w:r>
      <w:r w:rsidRPr="00D243D7">
        <w:rPr>
          <w:rFonts w:ascii="Times New Roman" w:hAnsi="Times New Roman" w:cs="Times New Roman"/>
          <w:i/>
          <w:sz w:val="24"/>
          <w:szCs w:val="24"/>
          <w:lang w:val="sr-Cyrl-CS"/>
        </w:rPr>
        <w:t xml:space="preserve">О конгруенцији предиката са дисјунктивним субјектом у српском језику </w:t>
      </w:r>
      <w:r w:rsidRPr="00D243D7">
        <w:rPr>
          <w:rFonts w:ascii="Times New Roman" w:hAnsi="Times New Roman" w:cs="Times New Roman"/>
          <w:sz w:val="24"/>
          <w:szCs w:val="24"/>
          <w:lang w:val="sr-Cyrl-CS"/>
        </w:rPr>
        <w:t>има 197</w:t>
      </w:r>
      <w:r w:rsidR="00D14AC3" w:rsidRPr="00D243D7">
        <w:rPr>
          <w:rFonts w:ascii="Times New Roman" w:hAnsi="Times New Roman" w:cs="Times New Roman"/>
          <w:sz w:val="24"/>
          <w:szCs w:val="24"/>
          <w:lang w:val="sr-Cyrl-CS"/>
        </w:rPr>
        <w:t xml:space="preserve"> страница текста </w:t>
      </w:r>
      <w:r w:rsidRPr="00D243D7">
        <w:rPr>
          <w:rFonts w:ascii="Times New Roman" w:hAnsi="Times New Roman" w:cs="Times New Roman"/>
          <w:sz w:val="24"/>
          <w:szCs w:val="24"/>
          <w:lang w:val="sr-Cyrl-CS"/>
        </w:rPr>
        <w:t>уског (</w:t>
      </w:r>
      <w:r w:rsidRPr="00D243D7">
        <w:rPr>
          <w:rFonts w:ascii="Times New Roman" w:hAnsi="Times New Roman" w:cs="Times New Roman"/>
          <w:sz w:val="24"/>
          <w:szCs w:val="24"/>
          <w:lang w:val="sr-Latn-CS"/>
        </w:rPr>
        <w:t>single</w:t>
      </w:r>
      <w:r w:rsidR="00D14AC3" w:rsidRPr="00D243D7">
        <w:rPr>
          <w:rFonts w:ascii="Times New Roman" w:hAnsi="Times New Roman" w:cs="Times New Roman"/>
          <w:sz w:val="24"/>
          <w:szCs w:val="24"/>
          <w:lang w:val="sr-Cyrl-CS"/>
        </w:rPr>
        <w:t>) пр</w:t>
      </w:r>
      <w:r w:rsidRPr="00D243D7">
        <w:rPr>
          <w:rFonts w:ascii="Times New Roman" w:hAnsi="Times New Roman" w:cs="Times New Roman"/>
          <w:sz w:val="24"/>
          <w:szCs w:val="24"/>
          <w:lang w:val="sr-Cyrl-CS"/>
        </w:rPr>
        <w:t xml:space="preserve">ореда и структурисана је у </w:t>
      </w:r>
      <w:r w:rsidRPr="00D243D7">
        <w:rPr>
          <w:rFonts w:ascii="Times New Roman" w:hAnsi="Times New Roman" w:cs="Times New Roman"/>
          <w:sz w:val="24"/>
          <w:szCs w:val="24"/>
          <w:lang w:val="sr-Latn-CS"/>
        </w:rPr>
        <w:t xml:space="preserve">пет текстуалних </w:t>
      </w:r>
      <w:r w:rsidR="00D14AC3" w:rsidRPr="00D243D7">
        <w:rPr>
          <w:rFonts w:ascii="Times New Roman" w:hAnsi="Times New Roman" w:cs="Times New Roman"/>
          <w:sz w:val="24"/>
          <w:szCs w:val="24"/>
          <w:lang w:val="sr-Cyrl-CS"/>
        </w:rPr>
        <w:t xml:space="preserve">поглавља: </w:t>
      </w:r>
      <w:r w:rsidRPr="00D243D7">
        <w:rPr>
          <w:rFonts w:ascii="Times New Roman" w:hAnsi="Times New Roman" w:cs="Times New Roman"/>
          <w:sz w:val="24"/>
          <w:szCs w:val="24"/>
          <w:lang w:val="sr-Cyrl-CS"/>
        </w:rPr>
        <w:t xml:space="preserve">а) </w:t>
      </w:r>
      <w:r w:rsidR="00D14AC3" w:rsidRPr="00D243D7">
        <w:rPr>
          <w:rFonts w:ascii="Times New Roman" w:hAnsi="Times New Roman" w:cs="Times New Roman"/>
          <w:i/>
          <w:sz w:val="24"/>
          <w:szCs w:val="24"/>
          <w:lang w:val="sr-Cyrl-CS"/>
        </w:rPr>
        <w:t xml:space="preserve">Увод </w:t>
      </w:r>
      <w:r w:rsidRPr="00D243D7">
        <w:rPr>
          <w:rFonts w:ascii="Times New Roman" w:hAnsi="Times New Roman" w:cs="Times New Roman"/>
          <w:sz w:val="24"/>
          <w:szCs w:val="24"/>
          <w:lang w:val="sr-Cyrl-CS"/>
        </w:rPr>
        <w:t xml:space="preserve">(1‒11), 2) </w:t>
      </w:r>
      <w:r w:rsidRPr="00D243D7">
        <w:rPr>
          <w:rFonts w:ascii="Times New Roman" w:hAnsi="Times New Roman" w:cs="Times New Roman"/>
          <w:i/>
          <w:sz w:val="24"/>
          <w:szCs w:val="24"/>
          <w:lang w:val="sr-Cyrl-CS"/>
        </w:rPr>
        <w:t xml:space="preserve">Теоријско-методолошко поглавље </w:t>
      </w:r>
      <w:r w:rsidRPr="00D243D7">
        <w:rPr>
          <w:rFonts w:ascii="Times New Roman" w:hAnsi="Times New Roman" w:cs="Times New Roman"/>
          <w:sz w:val="24"/>
          <w:szCs w:val="24"/>
          <w:lang w:val="sr-Cyrl-CS"/>
        </w:rPr>
        <w:t>(12</w:t>
      </w:r>
      <w:r w:rsidR="008C63CD" w:rsidRPr="00D243D7">
        <w:rPr>
          <w:rFonts w:ascii="Times New Roman" w:hAnsi="Times New Roman" w:cs="Times New Roman"/>
          <w:sz w:val="24"/>
          <w:szCs w:val="24"/>
          <w:lang w:val="sr-Cyrl-CS"/>
        </w:rPr>
        <w:t>‒</w:t>
      </w:r>
      <w:r w:rsidRPr="00D243D7">
        <w:rPr>
          <w:rFonts w:ascii="Times New Roman" w:hAnsi="Times New Roman" w:cs="Times New Roman"/>
          <w:sz w:val="24"/>
          <w:szCs w:val="24"/>
          <w:lang w:val="sr-Cyrl-CS"/>
        </w:rPr>
        <w:t xml:space="preserve">58), 3) </w:t>
      </w:r>
      <w:r w:rsidRPr="00D243D7">
        <w:rPr>
          <w:rFonts w:ascii="Times New Roman" w:hAnsi="Times New Roman" w:cs="Times New Roman"/>
          <w:i/>
          <w:sz w:val="24"/>
          <w:szCs w:val="24"/>
          <w:lang w:val="sr-Cyrl-CS"/>
        </w:rPr>
        <w:t xml:space="preserve">О конруенцији предиката са дисјунктивним субјектом </w:t>
      </w:r>
      <w:r w:rsidRPr="00D243D7">
        <w:rPr>
          <w:rFonts w:ascii="Times New Roman" w:hAnsi="Times New Roman" w:cs="Times New Roman"/>
          <w:sz w:val="24"/>
          <w:szCs w:val="24"/>
          <w:lang w:val="sr-Cyrl-CS"/>
        </w:rPr>
        <w:t>(59</w:t>
      </w:r>
      <w:r w:rsidR="008C63CD" w:rsidRPr="00D243D7">
        <w:rPr>
          <w:rFonts w:ascii="Times New Roman" w:hAnsi="Times New Roman" w:cs="Times New Roman"/>
          <w:sz w:val="24"/>
          <w:szCs w:val="24"/>
          <w:lang w:val="sr-Cyrl-CS"/>
        </w:rPr>
        <w:t>‒</w:t>
      </w:r>
      <w:r w:rsidRPr="00D243D7">
        <w:rPr>
          <w:rFonts w:ascii="Times New Roman" w:hAnsi="Times New Roman" w:cs="Times New Roman"/>
          <w:sz w:val="24"/>
          <w:szCs w:val="24"/>
          <w:lang w:val="sr-Cyrl-CS"/>
        </w:rPr>
        <w:t xml:space="preserve">104), 4) </w:t>
      </w:r>
      <w:r w:rsidRPr="00D243D7">
        <w:rPr>
          <w:rFonts w:ascii="Times New Roman" w:hAnsi="Times New Roman" w:cs="Times New Roman"/>
          <w:i/>
          <w:sz w:val="24"/>
          <w:szCs w:val="24"/>
          <w:lang w:val="sr-Cyrl-CS"/>
        </w:rPr>
        <w:t>Теоријске импликације</w:t>
      </w:r>
      <w:r w:rsidRPr="00D243D7">
        <w:rPr>
          <w:rFonts w:ascii="Times New Roman" w:hAnsi="Times New Roman" w:cs="Times New Roman"/>
          <w:sz w:val="24"/>
          <w:szCs w:val="24"/>
          <w:lang w:val="sr-Cyrl-CS"/>
        </w:rPr>
        <w:t xml:space="preserve"> (105</w:t>
      </w:r>
      <w:r w:rsidR="008C63CD" w:rsidRPr="00D243D7">
        <w:rPr>
          <w:rFonts w:ascii="Times New Roman" w:hAnsi="Times New Roman" w:cs="Times New Roman"/>
          <w:sz w:val="24"/>
          <w:szCs w:val="24"/>
          <w:lang w:val="sr-Cyrl-CS"/>
        </w:rPr>
        <w:t>‒</w:t>
      </w:r>
      <w:r w:rsidRPr="00D243D7">
        <w:rPr>
          <w:rFonts w:ascii="Times New Roman" w:hAnsi="Times New Roman" w:cs="Times New Roman"/>
          <w:sz w:val="24"/>
          <w:szCs w:val="24"/>
          <w:lang w:val="sr-Cyrl-CS"/>
        </w:rPr>
        <w:t xml:space="preserve">120), 5) </w:t>
      </w:r>
      <w:r w:rsidRPr="00D243D7">
        <w:rPr>
          <w:rFonts w:ascii="Times New Roman" w:hAnsi="Times New Roman" w:cs="Times New Roman"/>
          <w:i/>
          <w:sz w:val="24"/>
          <w:szCs w:val="24"/>
          <w:lang w:val="sr-Cyrl-CS"/>
        </w:rPr>
        <w:t xml:space="preserve">Закључак </w:t>
      </w:r>
      <w:r w:rsidRPr="00D243D7">
        <w:rPr>
          <w:rFonts w:ascii="Times New Roman" w:hAnsi="Times New Roman" w:cs="Times New Roman"/>
          <w:sz w:val="24"/>
          <w:szCs w:val="24"/>
          <w:lang w:val="sr-Cyrl-CS"/>
        </w:rPr>
        <w:t>(121</w:t>
      </w:r>
      <w:r w:rsidR="008C63CD" w:rsidRPr="00D243D7">
        <w:rPr>
          <w:rFonts w:ascii="Times New Roman" w:hAnsi="Times New Roman" w:cs="Times New Roman"/>
          <w:sz w:val="24"/>
          <w:szCs w:val="24"/>
          <w:lang w:val="sr-Cyrl-CS"/>
        </w:rPr>
        <w:t xml:space="preserve">‒126), с тим да иза текстуалног дела долазе за монографију неоходна поглавља: 6) </w:t>
      </w:r>
      <w:r w:rsidR="008C63CD" w:rsidRPr="00D243D7">
        <w:rPr>
          <w:rFonts w:ascii="Times New Roman" w:hAnsi="Times New Roman" w:cs="Times New Roman"/>
          <w:i/>
          <w:sz w:val="24"/>
          <w:szCs w:val="24"/>
          <w:lang w:val="sr-Cyrl-CS"/>
        </w:rPr>
        <w:t xml:space="preserve">Литература </w:t>
      </w:r>
      <w:r w:rsidR="008C63CD" w:rsidRPr="00D243D7">
        <w:rPr>
          <w:rFonts w:ascii="Times New Roman" w:hAnsi="Times New Roman" w:cs="Times New Roman"/>
          <w:sz w:val="24"/>
          <w:szCs w:val="24"/>
          <w:lang w:val="sr-Cyrl-CS"/>
        </w:rPr>
        <w:t xml:space="preserve">(127‒140), и  7)   Извори (141‒142),  као и два егземплативна "додатна" поглавља: 8) </w:t>
      </w:r>
      <w:r w:rsidR="008C63CD" w:rsidRPr="00D243D7">
        <w:rPr>
          <w:rFonts w:ascii="Times New Roman" w:hAnsi="Times New Roman" w:cs="Times New Roman"/>
          <w:i/>
          <w:sz w:val="24"/>
          <w:szCs w:val="24"/>
          <w:lang w:val="sr-Cyrl-CS"/>
        </w:rPr>
        <w:t>Додатак ‒ експериментални материјал</w:t>
      </w:r>
      <w:r w:rsidR="008C63CD" w:rsidRPr="00D243D7">
        <w:rPr>
          <w:rFonts w:ascii="Times New Roman" w:hAnsi="Times New Roman" w:cs="Times New Roman"/>
          <w:sz w:val="24"/>
          <w:szCs w:val="24"/>
          <w:lang w:val="sr-Cyrl-CS"/>
        </w:rPr>
        <w:t xml:space="preserve"> (143‒174) и 9) </w:t>
      </w:r>
      <w:r w:rsidR="008C63CD" w:rsidRPr="00D243D7">
        <w:rPr>
          <w:rFonts w:ascii="Times New Roman" w:hAnsi="Times New Roman" w:cs="Times New Roman"/>
          <w:i/>
          <w:sz w:val="24"/>
          <w:szCs w:val="24"/>
          <w:lang w:val="sr-Cyrl-CS"/>
        </w:rPr>
        <w:t xml:space="preserve">Примери ексцерпирани из корпуса </w:t>
      </w:r>
      <w:r w:rsidR="008C63CD" w:rsidRPr="00D243D7">
        <w:rPr>
          <w:rFonts w:ascii="Times New Roman" w:hAnsi="Times New Roman" w:cs="Times New Roman"/>
          <w:sz w:val="24"/>
          <w:szCs w:val="24"/>
          <w:lang w:val="sr-Cyrl-CS"/>
        </w:rPr>
        <w:t>Сврак</w:t>
      </w:r>
      <w:r w:rsidR="008C63CD" w:rsidRPr="00D243D7">
        <w:rPr>
          <w:rFonts w:ascii="Times New Roman" w:hAnsi="Times New Roman" w:cs="Times New Roman"/>
          <w:i/>
          <w:sz w:val="24"/>
          <w:szCs w:val="24"/>
          <w:lang w:val="sr-Cyrl-CS"/>
        </w:rPr>
        <w:t xml:space="preserve"> разврстани према условима </w:t>
      </w:r>
      <w:r w:rsidR="008C63CD" w:rsidRPr="00D243D7">
        <w:rPr>
          <w:rFonts w:ascii="Times New Roman" w:hAnsi="Times New Roman" w:cs="Times New Roman"/>
          <w:sz w:val="24"/>
          <w:szCs w:val="24"/>
          <w:lang w:val="sr-Cyrl-CS"/>
        </w:rPr>
        <w:t xml:space="preserve">(175‒182), а на крају је дат и 10) </w:t>
      </w:r>
      <w:r w:rsidR="008C63CD" w:rsidRPr="00D243D7">
        <w:rPr>
          <w:rFonts w:ascii="Times New Roman" w:hAnsi="Times New Roman" w:cs="Times New Roman"/>
          <w:i/>
          <w:sz w:val="24"/>
          <w:szCs w:val="24"/>
          <w:lang w:val="sr-Cyrl-CS"/>
        </w:rPr>
        <w:t xml:space="preserve">Индекс појмова </w:t>
      </w:r>
      <w:r w:rsidR="008C63CD" w:rsidRPr="00D243D7">
        <w:rPr>
          <w:rFonts w:ascii="Times New Roman" w:hAnsi="Times New Roman" w:cs="Times New Roman"/>
          <w:sz w:val="24"/>
          <w:szCs w:val="24"/>
          <w:lang w:val="sr-Cyrl-CS"/>
        </w:rPr>
        <w:t xml:space="preserve">и 11) </w:t>
      </w:r>
      <w:r w:rsidR="008C63CD" w:rsidRPr="00D243D7">
        <w:rPr>
          <w:rFonts w:ascii="Times New Roman" w:hAnsi="Times New Roman" w:cs="Times New Roman"/>
          <w:i/>
          <w:sz w:val="24"/>
          <w:szCs w:val="24"/>
          <w:lang w:val="sr-Cyrl-CS"/>
        </w:rPr>
        <w:t>Индекс аутора.</w:t>
      </w:r>
      <w:r w:rsidR="008C63CD" w:rsidRPr="00D243D7">
        <w:rPr>
          <w:rFonts w:ascii="Times New Roman" w:hAnsi="Times New Roman" w:cs="Times New Roman"/>
          <w:sz w:val="24"/>
          <w:szCs w:val="24"/>
          <w:lang w:val="sr-Cyrl-CS"/>
        </w:rPr>
        <w:t xml:space="preserve">  </w:t>
      </w:r>
    </w:p>
    <w:p w:rsidR="008C63CD" w:rsidRPr="00D243D7" w:rsidRDefault="00D14AC3" w:rsidP="00D243D7">
      <w:pPr>
        <w:spacing w:after="0" w:line="240" w:lineRule="auto"/>
        <w:jc w:val="both"/>
        <w:rPr>
          <w:rFonts w:ascii="Times New Roman" w:hAnsi="Times New Roman"/>
          <w:sz w:val="24"/>
          <w:szCs w:val="24"/>
        </w:rPr>
      </w:pPr>
      <w:r w:rsidRPr="00D243D7">
        <w:rPr>
          <w:rFonts w:ascii="Times New Roman" w:hAnsi="Times New Roman" w:cs="Times New Roman"/>
          <w:sz w:val="24"/>
          <w:szCs w:val="24"/>
          <w:lang w:val="sr-Cyrl-CS"/>
        </w:rPr>
        <w:t xml:space="preserve">     Као и у свакој доброј монографији и у овој </w:t>
      </w:r>
      <w:proofErr w:type="spellStart"/>
      <w:r w:rsidRPr="00D243D7">
        <w:rPr>
          <w:rFonts w:ascii="Times New Roman" w:hAnsi="Times New Roman" w:cs="Times New Roman"/>
          <w:sz w:val="24"/>
          <w:szCs w:val="24"/>
        </w:rPr>
        <w:t>се</w:t>
      </w:r>
      <w:proofErr w:type="spellEnd"/>
      <w:r w:rsidRPr="00D243D7">
        <w:rPr>
          <w:rFonts w:ascii="Times New Roman" w:hAnsi="Times New Roman" w:cs="Times New Roman"/>
          <w:sz w:val="24"/>
          <w:szCs w:val="24"/>
        </w:rPr>
        <w:t xml:space="preserve"> </w:t>
      </w:r>
      <w:r w:rsidR="008C63CD" w:rsidRPr="00D243D7">
        <w:rPr>
          <w:rFonts w:ascii="Times New Roman" w:hAnsi="Times New Roman" w:cs="Times New Roman"/>
          <w:sz w:val="24"/>
          <w:szCs w:val="24"/>
          <w:lang w:val="sr-Cyrl-CS"/>
        </w:rPr>
        <w:t xml:space="preserve">у уводном </w:t>
      </w:r>
      <w:r w:rsidR="00D243D7">
        <w:rPr>
          <w:rFonts w:ascii="Times New Roman" w:hAnsi="Times New Roman" w:cs="Times New Roman"/>
          <w:sz w:val="24"/>
          <w:szCs w:val="24"/>
          <w:lang w:val="sr-Cyrl-CS"/>
        </w:rPr>
        <w:t>делу образлажу</w:t>
      </w:r>
      <w:r w:rsidR="008C63CD" w:rsidRPr="00D243D7">
        <w:rPr>
          <w:rFonts w:ascii="Times New Roman" w:hAnsi="Times New Roman" w:cs="Times New Roman"/>
          <w:sz w:val="24"/>
          <w:szCs w:val="24"/>
          <w:lang w:val="sr-Cyrl-CS"/>
        </w:rPr>
        <w:t xml:space="preserve"> </w:t>
      </w:r>
      <w:r w:rsidR="008C63CD" w:rsidRPr="00D243D7">
        <w:rPr>
          <w:rFonts w:ascii="Times New Roman" w:eastAsia="Calibri" w:hAnsi="Times New Roman" w:cs="Times New Roman"/>
          <w:sz w:val="24"/>
          <w:szCs w:val="24"/>
        </w:rPr>
        <w:t>предмет</w:t>
      </w:r>
      <w:r w:rsidR="00DD2141" w:rsidRPr="00D243D7">
        <w:rPr>
          <w:rFonts w:ascii="Times New Roman" w:hAnsi="Times New Roman"/>
          <w:sz w:val="24"/>
          <w:szCs w:val="24"/>
        </w:rPr>
        <w:t xml:space="preserve">, циљеви </w:t>
      </w:r>
      <w:r w:rsidR="008C63CD" w:rsidRPr="00D243D7">
        <w:rPr>
          <w:rFonts w:ascii="Times New Roman" w:eastAsia="Calibri" w:hAnsi="Times New Roman" w:cs="Times New Roman"/>
          <w:sz w:val="24"/>
          <w:szCs w:val="24"/>
        </w:rPr>
        <w:t xml:space="preserve"> </w:t>
      </w:r>
      <w:r w:rsidR="008C63CD" w:rsidRPr="00D243D7">
        <w:rPr>
          <w:rFonts w:ascii="Times New Roman" w:hAnsi="Times New Roman"/>
          <w:sz w:val="24"/>
          <w:szCs w:val="24"/>
        </w:rPr>
        <w:t xml:space="preserve">и хипотезе </w:t>
      </w:r>
      <w:r w:rsidR="00DD2141" w:rsidRPr="00D243D7">
        <w:rPr>
          <w:rFonts w:ascii="Times New Roman" w:hAnsi="Times New Roman"/>
          <w:sz w:val="24"/>
          <w:szCs w:val="24"/>
        </w:rPr>
        <w:t xml:space="preserve">истраживања. </w:t>
      </w:r>
      <w:r w:rsidR="00600AD6">
        <w:rPr>
          <w:rFonts w:ascii="Times New Roman" w:eastAsia="Calibri" w:hAnsi="Times New Roman" w:cs="Times New Roman"/>
          <w:sz w:val="24"/>
          <w:szCs w:val="24"/>
        </w:rPr>
        <w:t>У</w:t>
      </w:r>
      <w:r w:rsidR="008C63CD" w:rsidRPr="00D243D7">
        <w:rPr>
          <w:rFonts w:ascii="Times New Roman" w:eastAsia="Calibri" w:hAnsi="Times New Roman" w:cs="Times New Roman"/>
          <w:sz w:val="24"/>
          <w:szCs w:val="24"/>
        </w:rPr>
        <w:t xml:space="preserve"> </w:t>
      </w:r>
      <w:r w:rsidR="00DD2141" w:rsidRPr="00D243D7">
        <w:rPr>
          <w:rFonts w:ascii="Times New Roman" w:hAnsi="Times New Roman"/>
          <w:sz w:val="24"/>
          <w:szCs w:val="24"/>
        </w:rPr>
        <w:t xml:space="preserve">монографији </w:t>
      </w:r>
      <w:r w:rsidR="00600AD6">
        <w:rPr>
          <w:rFonts w:ascii="Times New Roman" w:hAnsi="Times New Roman"/>
          <w:sz w:val="24"/>
          <w:szCs w:val="24"/>
        </w:rPr>
        <w:t xml:space="preserve">се </w:t>
      </w:r>
      <w:r w:rsidR="008C63CD" w:rsidRPr="00D243D7">
        <w:rPr>
          <w:rFonts w:ascii="Times New Roman" w:eastAsia="Calibri" w:hAnsi="Times New Roman" w:cs="Times New Roman"/>
          <w:sz w:val="24"/>
          <w:szCs w:val="24"/>
        </w:rPr>
        <w:t>испитује утицај граматичких карактеристика координираних чланова</w:t>
      </w:r>
      <w:r w:rsidR="00DD2141" w:rsidRPr="00D243D7">
        <w:rPr>
          <w:rFonts w:ascii="Times New Roman" w:hAnsi="Times New Roman"/>
          <w:sz w:val="24"/>
          <w:szCs w:val="24"/>
        </w:rPr>
        <w:t xml:space="preserve">, </w:t>
      </w:r>
      <w:r w:rsidR="008C63CD" w:rsidRPr="00D243D7">
        <w:rPr>
          <w:rFonts w:ascii="Times New Roman" w:eastAsia="Calibri" w:hAnsi="Times New Roman" w:cs="Times New Roman"/>
          <w:sz w:val="24"/>
          <w:szCs w:val="24"/>
        </w:rPr>
        <w:t xml:space="preserve"> као што су вредност граматичког рода и броја, те линеарна и хијерархијска дистанца, и семантичких карактеристика – особине референције, дељење модификатора – на слагање глагола у роду у српском језику. Укратко су образложени досадашњи приступи слагању, и представљено како се ова </w:t>
      </w:r>
      <w:r w:rsidR="00600AD6">
        <w:rPr>
          <w:rFonts w:ascii="Times New Roman" w:eastAsia="Calibri" w:hAnsi="Times New Roman" w:cs="Times New Roman"/>
          <w:sz w:val="24"/>
          <w:szCs w:val="24"/>
        </w:rPr>
        <w:t xml:space="preserve">монографија </w:t>
      </w:r>
      <w:r w:rsidR="008C63CD" w:rsidRPr="00D243D7">
        <w:rPr>
          <w:rFonts w:ascii="Times New Roman" w:eastAsia="Calibri" w:hAnsi="Times New Roman" w:cs="Times New Roman"/>
          <w:sz w:val="24"/>
          <w:szCs w:val="24"/>
        </w:rPr>
        <w:t xml:space="preserve">уклапа у контекст досадашњих истраживања. </w:t>
      </w:r>
    </w:p>
    <w:p w:rsidR="00DD2141" w:rsidRPr="00D243D7" w:rsidRDefault="00EF698B" w:rsidP="00D243D7">
      <w:pPr>
        <w:spacing w:after="0" w:line="240" w:lineRule="auto"/>
        <w:jc w:val="both"/>
        <w:rPr>
          <w:rFonts w:ascii="Times New Roman" w:eastAsia="Calibri" w:hAnsi="Times New Roman" w:cs="Times New Roman"/>
          <w:sz w:val="24"/>
          <w:szCs w:val="24"/>
          <w:lang w:val="sr-Cyrl-CS"/>
        </w:rPr>
      </w:pPr>
      <w:r w:rsidRPr="00D243D7">
        <w:rPr>
          <w:rFonts w:ascii="Times New Roman" w:eastAsia="Times New Roman" w:hAnsi="Times New Roman"/>
          <w:color w:val="000000"/>
          <w:sz w:val="24"/>
          <w:szCs w:val="24"/>
        </w:rPr>
        <w:t xml:space="preserve">    Као повод и разлог писању монографије ауторка у уводу истиче "</w:t>
      </w:r>
      <w:r w:rsidRPr="00D243D7">
        <w:rPr>
          <w:rFonts w:ascii="Times New Roman" w:eastAsia="Times New Roman" w:hAnsi="Times New Roman" w:cs="Times New Roman"/>
          <w:color w:val="000000"/>
          <w:sz w:val="24"/>
          <w:szCs w:val="24"/>
        </w:rPr>
        <w:t>могућнос</w:t>
      </w:r>
      <w:r w:rsidRPr="00D243D7">
        <w:rPr>
          <w:rFonts w:ascii="Times New Roman" w:eastAsia="Times New Roman" w:hAnsi="Times New Roman"/>
          <w:color w:val="000000"/>
          <w:sz w:val="24"/>
          <w:szCs w:val="24"/>
        </w:rPr>
        <w:t>т</w:t>
      </w:r>
      <w:r w:rsidRPr="00D243D7">
        <w:rPr>
          <w:rFonts w:ascii="Times New Roman" w:eastAsia="Times New Roman" w:hAnsi="Times New Roman" w:cs="Times New Roman"/>
          <w:color w:val="000000"/>
          <w:sz w:val="24"/>
          <w:szCs w:val="24"/>
        </w:rPr>
        <w:t xml:space="preserve"> примене теоријских генерализација изнетих за слагање предиката са координираним субјектом и на слагање предиката са дисјунктивним субјектом. У граматикама српског језика овај проблем уопште није препознат, а на основу документованих примера за слагање са координираним субјектом који укључују и оне са везником </w:t>
      </w:r>
      <w:r w:rsidRPr="00D243D7">
        <w:rPr>
          <w:rFonts w:ascii="Times New Roman" w:eastAsia="Times New Roman" w:hAnsi="Times New Roman" w:cs="Times New Roman"/>
          <w:i/>
          <w:iCs/>
          <w:color w:val="000000"/>
          <w:sz w:val="24"/>
          <w:szCs w:val="24"/>
        </w:rPr>
        <w:t>или</w:t>
      </w:r>
      <w:r w:rsidRPr="00D243D7">
        <w:rPr>
          <w:rFonts w:ascii="Times New Roman" w:eastAsia="Times New Roman" w:hAnsi="Times New Roman" w:cs="Times New Roman"/>
          <w:color w:val="000000"/>
          <w:sz w:val="24"/>
          <w:szCs w:val="24"/>
        </w:rPr>
        <w:t>, чини се као да се подразумева да је реч о истим примерима као и о онима са координираним субјектом, што никако не може да буде случај. Управо све наведено нас је мотивисало да емпиријско стање и теоријске поставке које важе за конјункцију проверимо и у условима дисјункције, те да на основу резултата којима располажемо по потреби ревидирамо теоријске приступе како би могли да се примене и на дисјункцију, надајући се да ће такви резултати наћи место и у новијим граматикама српског језика.</w:t>
      </w:r>
      <w:r w:rsidRPr="00D243D7">
        <w:rPr>
          <w:rFonts w:ascii="Times New Roman" w:eastAsia="Times New Roman" w:hAnsi="Times New Roman"/>
          <w:color w:val="000000"/>
          <w:sz w:val="24"/>
          <w:szCs w:val="24"/>
        </w:rPr>
        <w:t xml:space="preserve">" </w:t>
      </w:r>
    </w:p>
    <w:p w:rsidR="00456BE0" w:rsidRPr="00D243D7" w:rsidRDefault="00B51D1B" w:rsidP="00D243D7">
      <w:pPr>
        <w:spacing w:after="0" w:line="240" w:lineRule="auto"/>
        <w:jc w:val="both"/>
        <w:rPr>
          <w:rFonts w:ascii="Times New Roman" w:hAnsi="Times New Roman"/>
          <w:color w:val="000000"/>
          <w:sz w:val="24"/>
          <w:szCs w:val="24"/>
        </w:rPr>
      </w:pPr>
      <w:r w:rsidRPr="00D243D7">
        <w:rPr>
          <w:sz w:val="24"/>
          <w:szCs w:val="24"/>
          <w:lang w:val="sr-Cyrl-CS"/>
        </w:rPr>
        <w:t xml:space="preserve"> </w:t>
      </w:r>
      <w:r w:rsidR="00FE11F5" w:rsidRPr="00D243D7">
        <w:rPr>
          <w:rFonts w:ascii="Times New Roman" w:hAnsi="Times New Roman"/>
          <w:sz w:val="24"/>
          <w:szCs w:val="24"/>
        </w:rPr>
        <w:t xml:space="preserve">   </w:t>
      </w:r>
      <w:r w:rsidRPr="00D243D7">
        <w:rPr>
          <w:rFonts w:ascii="Times New Roman" w:eastAsia="Calibri" w:hAnsi="Times New Roman" w:cs="Times New Roman"/>
          <w:sz w:val="24"/>
          <w:szCs w:val="24"/>
          <w:u w:val="single"/>
        </w:rPr>
        <w:t>Друго</w:t>
      </w:r>
      <w:r w:rsidRPr="00D243D7">
        <w:rPr>
          <w:rFonts w:ascii="Times New Roman" w:hAnsi="Times New Roman"/>
          <w:sz w:val="24"/>
          <w:szCs w:val="24"/>
          <w:u w:val="single"/>
        </w:rPr>
        <w:t>м  поглављу</w:t>
      </w:r>
      <w:r w:rsidRPr="00D243D7">
        <w:rPr>
          <w:rFonts w:ascii="Times New Roman" w:hAnsi="Times New Roman"/>
          <w:sz w:val="24"/>
          <w:szCs w:val="24"/>
        </w:rPr>
        <w:t xml:space="preserve">  насловљеном  </w:t>
      </w:r>
      <w:r w:rsidRPr="00D243D7">
        <w:rPr>
          <w:rFonts w:ascii="Times New Roman" w:eastAsia="Calibri" w:hAnsi="Times New Roman" w:cs="Times New Roman"/>
          <w:sz w:val="24"/>
          <w:szCs w:val="24"/>
        </w:rPr>
        <w:t xml:space="preserve"> </w:t>
      </w:r>
      <w:r w:rsidRPr="00D243D7">
        <w:rPr>
          <w:rFonts w:ascii="Times New Roman" w:hAnsi="Times New Roman"/>
          <w:sz w:val="24"/>
          <w:szCs w:val="24"/>
        </w:rPr>
        <w:t>"Т</w:t>
      </w:r>
      <w:r w:rsidRPr="00D243D7">
        <w:rPr>
          <w:rFonts w:ascii="Times New Roman" w:eastAsia="Calibri" w:hAnsi="Times New Roman" w:cs="Times New Roman"/>
          <w:sz w:val="24"/>
          <w:szCs w:val="24"/>
        </w:rPr>
        <w:t>еоријско-методолошко поглавље</w:t>
      </w:r>
      <w:r w:rsidRPr="00D243D7">
        <w:rPr>
          <w:rFonts w:ascii="Times New Roman" w:hAnsi="Times New Roman"/>
          <w:sz w:val="24"/>
          <w:szCs w:val="24"/>
        </w:rPr>
        <w:t>"</w:t>
      </w:r>
      <w:r w:rsidR="00FE11F5" w:rsidRPr="00D243D7">
        <w:rPr>
          <w:rFonts w:ascii="Times New Roman" w:hAnsi="Times New Roman"/>
          <w:sz w:val="24"/>
          <w:szCs w:val="24"/>
        </w:rPr>
        <w:t xml:space="preserve"> боље би, да не кажемо једино,  одговарао</w:t>
      </w:r>
      <w:r w:rsidRPr="00D243D7">
        <w:rPr>
          <w:rFonts w:ascii="Times New Roman" w:hAnsi="Times New Roman"/>
          <w:sz w:val="24"/>
          <w:szCs w:val="24"/>
        </w:rPr>
        <w:t xml:space="preserve"> наслов "Теоријс</w:t>
      </w:r>
      <w:r w:rsidR="009F4673" w:rsidRPr="00D243D7">
        <w:rPr>
          <w:rFonts w:ascii="Times New Roman" w:hAnsi="Times New Roman"/>
          <w:sz w:val="24"/>
          <w:szCs w:val="24"/>
        </w:rPr>
        <w:t>ко-меотодолошки приступ</w:t>
      </w:r>
      <w:r w:rsidR="004E515F">
        <w:rPr>
          <w:rFonts w:ascii="Times New Roman" w:hAnsi="Times New Roman"/>
          <w:sz w:val="24"/>
          <w:szCs w:val="24"/>
        </w:rPr>
        <w:t xml:space="preserve"> (или п</w:t>
      </w:r>
      <w:r w:rsidR="004E515F">
        <w:rPr>
          <w:rFonts w:ascii="Times New Roman" w:hAnsi="Times New Roman"/>
          <w:sz w:val="24"/>
          <w:szCs w:val="24"/>
          <w:lang w:val="sr-Cyrl-CS"/>
        </w:rPr>
        <w:t>а</w:t>
      </w:r>
      <w:r w:rsidR="004E515F">
        <w:rPr>
          <w:rFonts w:ascii="Times New Roman" w:hAnsi="Times New Roman"/>
          <w:sz w:val="24"/>
          <w:szCs w:val="24"/>
        </w:rPr>
        <w:t>к "аспекти")</w:t>
      </w:r>
      <w:r w:rsidR="009F4673" w:rsidRPr="00D243D7">
        <w:rPr>
          <w:rFonts w:ascii="Times New Roman" w:hAnsi="Times New Roman"/>
          <w:sz w:val="24"/>
          <w:szCs w:val="24"/>
        </w:rPr>
        <w:t xml:space="preserve">", јер </w:t>
      </w:r>
      <w:r w:rsidRPr="00D243D7">
        <w:rPr>
          <w:rFonts w:ascii="Times New Roman" w:hAnsi="Times New Roman"/>
          <w:sz w:val="24"/>
          <w:szCs w:val="24"/>
        </w:rPr>
        <w:t xml:space="preserve"> је именица "поглавље</w:t>
      </w:r>
      <w:r w:rsidR="009F4673" w:rsidRPr="00D243D7">
        <w:rPr>
          <w:rFonts w:ascii="Times New Roman" w:hAnsi="Times New Roman"/>
          <w:sz w:val="24"/>
          <w:szCs w:val="24"/>
        </w:rPr>
        <w:t>"</w:t>
      </w:r>
      <w:r w:rsidRPr="00D243D7">
        <w:rPr>
          <w:rFonts w:ascii="Times New Roman" w:hAnsi="Times New Roman"/>
          <w:sz w:val="24"/>
          <w:szCs w:val="24"/>
        </w:rPr>
        <w:t xml:space="preserve"> у насло</w:t>
      </w:r>
      <w:r w:rsidR="009F4673" w:rsidRPr="00D243D7">
        <w:rPr>
          <w:rFonts w:ascii="Times New Roman" w:hAnsi="Times New Roman"/>
          <w:sz w:val="24"/>
          <w:szCs w:val="24"/>
        </w:rPr>
        <w:t xml:space="preserve">ву плеонастична, па следствео и </w:t>
      </w:r>
      <w:r w:rsidRPr="00D243D7">
        <w:rPr>
          <w:rFonts w:ascii="Times New Roman" w:hAnsi="Times New Roman"/>
          <w:sz w:val="24"/>
          <w:szCs w:val="24"/>
        </w:rPr>
        <w:t xml:space="preserve"> садржајно "празна"</w:t>
      </w:r>
      <w:r w:rsidR="009F4673" w:rsidRPr="00D243D7">
        <w:rPr>
          <w:rFonts w:ascii="Times New Roman" w:hAnsi="Times New Roman"/>
          <w:sz w:val="24"/>
          <w:szCs w:val="24"/>
        </w:rPr>
        <w:t xml:space="preserve">. </w:t>
      </w:r>
      <w:r w:rsidRPr="00D243D7">
        <w:rPr>
          <w:rFonts w:ascii="Times New Roman" w:hAnsi="Times New Roman"/>
          <w:sz w:val="24"/>
          <w:szCs w:val="24"/>
        </w:rPr>
        <w:t xml:space="preserve"> </w:t>
      </w:r>
      <w:r w:rsidRPr="00D243D7">
        <w:rPr>
          <w:rFonts w:ascii="Times New Roman" w:eastAsia="Calibri" w:hAnsi="Times New Roman" w:cs="Times New Roman"/>
          <w:sz w:val="24"/>
          <w:szCs w:val="24"/>
        </w:rPr>
        <w:t xml:space="preserve"> </w:t>
      </w:r>
      <w:r w:rsidR="00FE11F5" w:rsidRPr="00D243D7">
        <w:rPr>
          <w:rFonts w:ascii="Times New Roman" w:hAnsi="Times New Roman"/>
          <w:sz w:val="24"/>
          <w:szCs w:val="24"/>
        </w:rPr>
        <w:t xml:space="preserve">Ово је поглавље подељено у седам потпоглавља: </w:t>
      </w:r>
      <w:r w:rsidR="00FE11F5" w:rsidRPr="00D243D7">
        <w:rPr>
          <w:rFonts w:ascii="Times New Roman" w:eastAsia="Calibri" w:hAnsi="Times New Roman" w:cs="Times New Roman"/>
          <w:color w:val="000000"/>
          <w:sz w:val="24"/>
          <w:szCs w:val="24"/>
        </w:rPr>
        <w:t xml:space="preserve">у првом </w:t>
      </w:r>
      <w:r w:rsidR="00FE11F5" w:rsidRPr="00D243D7">
        <w:rPr>
          <w:rFonts w:ascii="Times New Roman" w:hAnsi="Times New Roman"/>
          <w:color w:val="000000"/>
          <w:sz w:val="24"/>
          <w:szCs w:val="24"/>
        </w:rPr>
        <w:t>се описује</w:t>
      </w:r>
      <w:r w:rsidR="00FE11F5" w:rsidRPr="00D243D7">
        <w:rPr>
          <w:rFonts w:ascii="Times New Roman" w:eastAsia="Calibri" w:hAnsi="Times New Roman" w:cs="Times New Roman"/>
          <w:color w:val="000000"/>
          <w:sz w:val="24"/>
          <w:szCs w:val="24"/>
        </w:rPr>
        <w:t xml:space="preserve"> прир</w:t>
      </w:r>
      <w:r w:rsidR="00FE11F5" w:rsidRPr="00D243D7">
        <w:rPr>
          <w:rFonts w:ascii="Times New Roman" w:hAnsi="Times New Roman"/>
          <w:color w:val="000000"/>
          <w:sz w:val="24"/>
          <w:szCs w:val="24"/>
        </w:rPr>
        <w:t>ода</w:t>
      </w:r>
      <w:r w:rsidR="00FE11F5" w:rsidRPr="00D243D7">
        <w:rPr>
          <w:rFonts w:ascii="Times New Roman" w:eastAsia="Calibri" w:hAnsi="Times New Roman" w:cs="Times New Roman"/>
          <w:color w:val="000000"/>
          <w:sz w:val="24"/>
          <w:szCs w:val="24"/>
        </w:rPr>
        <w:t xml:space="preserve"> слагања предиката са дисјунктивним субјектом у српском језику, те д</w:t>
      </w:r>
      <w:r w:rsidR="00FE11F5" w:rsidRPr="00D243D7">
        <w:rPr>
          <w:rFonts w:ascii="Times New Roman" w:hAnsi="Times New Roman"/>
          <w:color w:val="000000"/>
          <w:sz w:val="24"/>
          <w:szCs w:val="24"/>
        </w:rPr>
        <w:t>ефинише</w:t>
      </w:r>
      <w:r w:rsidR="00FE11F5" w:rsidRPr="00D243D7">
        <w:rPr>
          <w:rFonts w:ascii="Times New Roman" w:eastAsia="Calibri" w:hAnsi="Times New Roman" w:cs="Times New Roman"/>
          <w:color w:val="000000"/>
          <w:sz w:val="24"/>
          <w:szCs w:val="24"/>
        </w:rPr>
        <w:t xml:space="preserve"> дисјунктивни субјекат. Дру</w:t>
      </w:r>
      <w:r w:rsidR="00FE11F5" w:rsidRPr="00D243D7">
        <w:rPr>
          <w:rFonts w:ascii="Times New Roman" w:hAnsi="Times New Roman"/>
          <w:color w:val="000000"/>
          <w:sz w:val="24"/>
          <w:szCs w:val="24"/>
        </w:rPr>
        <w:t xml:space="preserve">го и треће потпоглавље </w:t>
      </w:r>
      <w:r w:rsidR="00FE11F5" w:rsidRPr="00D243D7">
        <w:rPr>
          <w:rFonts w:ascii="Times New Roman" w:eastAsia="Calibri" w:hAnsi="Times New Roman" w:cs="Times New Roman"/>
          <w:color w:val="000000"/>
          <w:sz w:val="24"/>
          <w:szCs w:val="24"/>
        </w:rPr>
        <w:t xml:space="preserve"> доносе преглед досадашњих истраживања о слагању предиката са субјектом, традиционално,</w:t>
      </w:r>
      <w:r w:rsidR="00FE11F5" w:rsidRPr="00D243D7">
        <w:rPr>
          <w:rFonts w:ascii="Times New Roman" w:hAnsi="Times New Roman"/>
          <w:color w:val="000000"/>
          <w:sz w:val="24"/>
          <w:szCs w:val="24"/>
        </w:rPr>
        <w:t xml:space="preserve"> те формално усмерена, а четврто </w:t>
      </w:r>
      <w:r w:rsidR="00FE11F5" w:rsidRPr="00D243D7">
        <w:rPr>
          <w:rFonts w:ascii="Times New Roman" w:eastAsia="Calibri" w:hAnsi="Times New Roman" w:cs="Times New Roman"/>
          <w:color w:val="000000"/>
          <w:sz w:val="24"/>
          <w:szCs w:val="24"/>
        </w:rPr>
        <w:t xml:space="preserve"> разматра истраживања у којима се предикат слаже са различитим контролорима у роду и броју. У петом </w:t>
      </w:r>
      <w:r w:rsidR="00FE11F5" w:rsidRPr="00D243D7">
        <w:rPr>
          <w:rFonts w:ascii="Times New Roman" w:hAnsi="Times New Roman"/>
          <w:color w:val="000000"/>
          <w:sz w:val="24"/>
          <w:szCs w:val="24"/>
        </w:rPr>
        <w:t xml:space="preserve">потпоглављу </w:t>
      </w:r>
      <w:r w:rsidR="00FE11F5" w:rsidRPr="00D243D7">
        <w:rPr>
          <w:rFonts w:ascii="Times New Roman" w:eastAsia="Calibri" w:hAnsi="Times New Roman" w:cs="Times New Roman"/>
          <w:color w:val="000000"/>
          <w:sz w:val="24"/>
          <w:szCs w:val="24"/>
        </w:rPr>
        <w:t>дата су досадашња истраживања о слагању предиката са дисјунктивним субјектом, док су у шестом образложени предмет истраживања, те дефинисане хипотезе и предикције, а у седмом су представљене методе истраживања.</w:t>
      </w:r>
      <w:r w:rsidR="00FE11F5" w:rsidRPr="00D243D7">
        <w:rPr>
          <w:rFonts w:ascii="Times New Roman" w:hAnsi="Times New Roman"/>
          <w:color w:val="000000"/>
          <w:sz w:val="24"/>
          <w:szCs w:val="24"/>
        </w:rPr>
        <w:t xml:space="preserve"> </w:t>
      </w:r>
    </w:p>
    <w:p w:rsidR="000349FB" w:rsidRPr="00D243D7" w:rsidRDefault="000349FB" w:rsidP="00D243D7">
      <w:pPr>
        <w:pStyle w:val="NoSpacing"/>
        <w:ind w:firstLine="720"/>
        <w:jc w:val="both"/>
        <w:rPr>
          <w:rFonts w:ascii="Times New Roman" w:hAnsi="Times New Roman"/>
          <w:color w:val="000000"/>
          <w:sz w:val="24"/>
          <w:szCs w:val="24"/>
        </w:rPr>
      </w:pPr>
      <w:r w:rsidRPr="00D243D7">
        <w:rPr>
          <w:rFonts w:ascii="Times New Roman" w:hAnsi="Times New Roman"/>
          <w:color w:val="000000"/>
          <w:sz w:val="24"/>
          <w:szCs w:val="24"/>
        </w:rPr>
        <w:t xml:space="preserve">У овом  теоријско-методолошком делу дефинишу се појмови који су употребљени  у монографији и теоријски образлаже испитивана појава. Монографија се директно наслања на ранија истраживања у формалном кључу заснована на судовима самих аутора у којима се слагање дефинише као чисто синтаксички процес, те на </w:t>
      </w:r>
      <w:r w:rsidRPr="00D243D7">
        <w:rPr>
          <w:rFonts w:ascii="Times New Roman" w:hAnsi="Times New Roman"/>
          <w:color w:val="000000"/>
          <w:sz w:val="24"/>
          <w:szCs w:val="24"/>
        </w:rPr>
        <w:lastRenderedPageBreak/>
        <w:t xml:space="preserve">истраживања експерименталног типа у којима се слагање дефинише и као постсинтаксички процес. Наслања се и на ранија истраживања у српској и србистичкој литератури у којима се разматрају доступни обрасци слагања глагола у роду са координираним субјектом на </w:t>
      </w:r>
      <w:r w:rsidR="006B793C" w:rsidRPr="00D243D7">
        <w:rPr>
          <w:rFonts w:ascii="Times New Roman" w:hAnsi="Times New Roman"/>
          <w:color w:val="000000"/>
          <w:sz w:val="24"/>
          <w:szCs w:val="24"/>
        </w:rPr>
        <w:t xml:space="preserve">корпусном </w:t>
      </w:r>
      <w:r w:rsidRPr="00D243D7">
        <w:rPr>
          <w:rFonts w:ascii="Times New Roman" w:hAnsi="Times New Roman"/>
          <w:color w:val="000000"/>
          <w:sz w:val="24"/>
          <w:szCs w:val="24"/>
        </w:rPr>
        <w:t>материјалу</w:t>
      </w:r>
      <w:r w:rsidR="006B793C" w:rsidRPr="00D243D7">
        <w:rPr>
          <w:rFonts w:ascii="Times New Roman" w:hAnsi="Times New Roman"/>
          <w:color w:val="000000"/>
          <w:sz w:val="24"/>
          <w:szCs w:val="24"/>
        </w:rPr>
        <w:t xml:space="preserve">. </w:t>
      </w:r>
      <w:r w:rsidRPr="00D243D7">
        <w:rPr>
          <w:rFonts w:ascii="Times New Roman" w:hAnsi="Times New Roman"/>
          <w:color w:val="000000"/>
          <w:sz w:val="24"/>
          <w:szCs w:val="24"/>
        </w:rPr>
        <w:t xml:space="preserve"> Кандидаткиња наводи да су у досадашњим истраживањима дата опречна мишљења у вези са статусом обрасца слагања какво је слагање глагола у роду са првим чланом превербалног координираног субјекта. </w:t>
      </w:r>
    </w:p>
    <w:p w:rsidR="003A1441" w:rsidRPr="00D243D7" w:rsidRDefault="000349FB" w:rsidP="00D243D7">
      <w:pPr>
        <w:pStyle w:val="NoSpacing"/>
        <w:ind w:firstLine="720"/>
        <w:jc w:val="both"/>
        <w:rPr>
          <w:rFonts w:ascii="Times New Roman" w:hAnsi="Times New Roman"/>
          <w:color w:val="000000"/>
          <w:sz w:val="24"/>
          <w:szCs w:val="24"/>
        </w:rPr>
      </w:pPr>
      <w:r w:rsidRPr="00D243D7">
        <w:rPr>
          <w:rFonts w:ascii="Times New Roman" w:hAnsi="Times New Roman"/>
          <w:color w:val="000000"/>
          <w:sz w:val="24"/>
          <w:szCs w:val="24"/>
        </w:rPr>
        <w:t xml:space="preserve">Друго поглавље доноси и предмет истраживања, хипотезе и предикције помоћу којих се оне тестирају, те циљеве које треба остварити. Укратко се образлаже и методологија која је употребљена у дисертацији, а која упориште проналази у истраживању Вилер Голд и др. Наведено је како су експерименти дизајнирани и спроведени, објашњено како је вршена обрада података, и образложени су критеријуми на основу којих је извршена селекција испитаника. </w:t>
      </w:r>
    </w:p>
    <w:p w:rsidR="00AD30DF" w:rsidRPr="00D243D7" w:rsidRDefault="003A1441" w:rsidP="00D243D7">
      <w:pPr>
        <w:pStyle w:val="NoSpacing"/>
        <w:ind w:firstLine="720"/>
        <w:jc w:val="both"/>
        <w:rPr>
          <w:rFonts w:ascii="Times New Roman" w:hAnsi="Times New Roman"/>
          <w:color w:val="000000"/>
          <w:sz w:val="24"/>
          <w:szCs w:val="24"/>
        </w:rPr>
      </w:pPr>
      <w:r w:rsidRPr="004E515F">
        <w:rPr>
          <w:rFonts w:ascii="Times New Roman" w:hAnsi="Times New Roman"/>
          <w:color w:val="000000"/>
          <w:sz w:val="24"/>
          <w:szCs w:val="24"/>
          <w:u w:val="single"/>
        </w:rPr>
        <w:t>Треће поглавље</w:t>
      </w:r>
      <w:r w:rsidRPr="00D243D7">
        <w:rPr>
          <w:rFonts w:ascii="Times New Roman" w:hAnsi="Times New Roman"/>
          <w:color w:val="000000"/>
          <w:sz w:val="24"/>
          <w:szCs w:val="24"/>
        </w:rPr>
        <w:t>, насловљено "</w:t>
      </w:r>
      <w:r w:rsidRPr="00D243D7">
        <w:rPr>
          <w:rFonts w:ascii="Times New Roman" w:hAnsi="Times New Roman"/>
          <w:sz w:val="24"/>
          <w:szCs w:val="24"/>
          <w:lang w:val="sr-Cyrl-CS"/>
        </w:rPr>
        <w:t>О конруенцији предиката са дисјунктив</w:t>
      </w:r>
      <w:r w:rsidR="004E515F">
        <w:rPr>
          <w:rFonts w:ascii="Times New Roman" w:hAnsi="Times New Roman"/>
          <w:sz w:val="24"/>
          <w:szCs w:val="24"/>
          <w:lang w:val="sr-Cyrl-CS"/>
        </w:rPr>
        <w:t>ним субјектом", представља цент</w:t>
      </w:r>
      <w:r w:rsidRPr="00D243D7">
        <w:rPr>
          <w:rFonts w:ascii="Times New Roman" w:hAnsi="Times New Roman"/>
          <w:sz w:val="24"/>
          <w:szCs w:val="24"/>
          <w:lang w:val="sr-Cyrl-CS"/>
        </w:rPr>
        <w:t>р</w:t>
      </w:r>
      <w:r w:rsidR="004E515F">
        <w:rPr>
          <w:rFonts w:ascii="Times New Roman" w:hAnsi="Times New Roman"/>
          <w:sz w:val="24"/>
          <w:szCs w:val="24"/>
          <w:lang w:val="sr-Cyrl-CS"/>
        </w:rPr>
        <w:t>а</w:t>
      </w:r>
      <w:r w:rsidRPr="00D243D7">
        <w:rPr>
          <w:rFonts w:ascii="Times New Roman" w:hAnsi="Times New Roman"/>
          <w:sz w:val="24"/>
          <w:szCs w:val="24"/>
          <w:lang w:val="sr-Cyrl-CS"/>
        </w:rPr>
        <w:t xml:space="preserve">лни део монографије </w:t>
      </w:r>
      <w:r w:rsidRPr="00D243D7">
        <w:rPr>
          <w:rFonts w:ascii="Times New Roman" w:hAnsi="Times New Roman"/>
          <w:color w:val="000000"/>
          <w:sz w:val="24"/>
          <w:szCs w:val="24"/>
        </w:rPr>
        <w:t>и састоји се из пет потпоглавља. У првом потпоглављу представљен је дизајн, дискусија и резултати експеримената са судовима граматичности којима се тестира ефекат синкретизма и дисјункције.  Друго доноси дизајн, резултате и дискусију за прву групу експеримената којима се тестира ефекат линеарне блискости и дисјункције (експерименти са судовима граматичности ). У трећем потпоглављу детаљно је описан дизајн, наведени  су и коментарисани резултати друге групе експеримената којима се тестира ефекат линеарне блискости и дисјункције (експерименти са судовима граматичности). Сваки од делова који садрже експерименте са судовима граматичности прати и део са корпусним подацима. Четврто потпоглавље  бави се улогом рода и броја у процесу слагања предиката са дисјунктивним субјектом, а у петом се, на основу поређења резултата експеримената у којима се предикат слаже са координираним и  са дисјунктивним субјектом, разматра улогу типа координације приликом одређивања контролора слагања у роду у српском језику.</w:t>
      </w:r>
    </w:p>
    <w:p w:rsidR="00AD30DF" w:rsidRPr="00D243D7" w:rsidRDefault="00AD30DF" w:rsidP="00D243D7">
      <w:pPr>
        <w:spacing w:after="0" w:line="240" w:lineRule="auto"/>
        <w:ind w:firstLine="720"/>
        <w:jc w:val="both"/>
        <w:rPr>
          <w:rFonts w:ascii="Times New Roman" w:eastAsia="Calibri" w:hAnsi="Times New Roman" w:cs="Times New Roman"/>
          <w:sz w:val="24"/>
          <w:szCs w:val="24"/>
          <w:lang w:val="ru-RU"/>
        </w:rPr>
      </w:pPr>
      <w:r w:rsidRPr="00D243D7">
        <w:rPr>
          <w:rFonts w:ascii="Times New Roman" w:hAnsi="Times New Roman"/>
          <w:color w:val="000000"/>
          <w:sz w:val="24"/>
          <w:szCs w:val="24"/>
        </w:rPr>
        <w:t xml:space="preserve"> Проведено истраживање Иване Митић показало је </w:t>
      </w:r>
      <w:r w:rsidRPr="00D243D7">
        <w:rPr>
          <w:rFonts w:ascii="Times New Roman" w:eastAsia="Calibri" w:hAnsi="Times New Roman" w:cs="Times New Roman"/>
          <w:sz w:val="24"/>
          <w:szCs w:val="24"/>
          <w:lang w:val="ru-RU"/>
        </w:rPr>
        <w:t>да на слагање глагола са једним од чланова координираног субјекта, било са првим, било са последњим чланом, не утиче истакнутост субјекта к</w:t>
      </w:r>
      <w:r w:rsidRPr="00D243D7">
        <w:rPr>
          <w:rFonts w:ascii="Times New Roman" w:hAnsi="Times New Roman"/>
          <w:sz w:val="24"/>
          <w:szCs w:val="24"/>
          <w:lang w:val="ru-RU"/>
        </w:rPr>
        <w:t>оја се тестира хипотезом</w:t>
      </w:r>
      <w:r w:rsidRPr="00D243D7">
        <w:rPr>
          <w:rFonts w:ascii="Times New Roman" w:eastAsia="Calibri" w:hAnsi="Times New Roman" w:cs="Times New Roman"/>
          <w:sz w:val="24"/>
          <w:szCs w:val="24"/>
          <w:lang w:val="ru-RU"/>
        </w:rPr>
        <w:t xml:space="preserve">. </w:t>
      </w:r>
      <w:r w:rsidRPr="00D243D7">
        <w:rPr>
          <w:rFonts w:ascii="Times New Roman" w:hAnsi="Times New Roman"/>
          <w:sz w:val="24"/>
          <w:szCs w:val="24"/>
          <w:lang w:val="ru-RU"/>
        </w:rPr>
        <w:t>Такође, н</w:t>
      </w:r>
      <w:r w:rsidRPr="00D243D7">
        <w:rPr>
          <w:rFonts w:ascii="Times New Roman" w:eastAsia="Calibri" w:hAnsi="Times New Roman" w:cs="Times New Roman"/>
          <w:sz w:val="24"/>
          <w:szCs w:val="24"/>
          <w:lang w:val="ru-RU"/>
        </w:rPr>
        <w:t>и редослед вредности рода не утиче значајно на слагање са првим и са последњим чланом координираног субјекта: слагање са последњим чланом је најчешће употребљен образац слагања, без обзира на то да ли је последњи члан женског или средњег рода, док је слагање са првим чланом потврђено нижим нивоом учешћа. С обзиром на то да је слагање са првим чланом најјаче када је први члан модификован и хијерархијски даљи од глагола, резултати истраживања упућују да се глагол не слаже са самом именицом, него са именичком фразом која је релевантни носилац обележја именице.</w:t>
      </w:r>
    </w:p>
    <w:p w:rsidR="00AD30DF" w:rsidRPr="00D243D7" w:rsidRDefault="00AD30DF" w:rsidP="00D243D7">
      <w:pPr>
        <w:spacing w:after="0" w:line="240" w:lineRule="auto"/>
        <w:ind w:firstLine="720"/>
        <w:jc w:val="both"/>
        <w:rPr>
          <w:rFonts w:ascii="Times New Roman" w:eastAsia="Calibri" w:hAnsi="Times New Roman" w:cs="Times New Roman"/>
          <w:sz w:val="24"/>
          <w:szCs w:val="24"/>
          <w:lang w:val="ru-RU"/>
        </w:rPr>
      </w:pPr>
      <w:r w:rsidRPr="00D243D7">
        <w:rPr>
          <w:rFonts w:ascii="Times New Roman" w:eastAsia="Calibri" w:hAnsi="Times New Roman" w:cs="Times New Roman"/>
          <w:sz w:val="24"/>
          <w:szCs w:val="24"/>
          <w:lang w:val="ru-RU"/>
        </w:rPr>
        <w:t xml:space="preserve">За разлику од </w:t>
      </w:r>
      <w:r w:rsidR="00231EFC" w:rsidRPr="00D243D7">
        <w:rPr>
          <w:rFonts w:ascii="Times New Roman" w:hAnsi="Times New Roman"/>
          <w:sz w:val="24"/>
          <w:szCs w:val="24"/>
          <w:lang w:val="ru-RU"/>
        </w:rPr>
        <w:t xml:space="preserve">неких </w:t>
      </w:r>
      <w:r w:rsidRPr="00D243D7">
        <w:rPr>
          <w:rFonts w:ascii="Times New Roman" w:eastAsia="Calibri" w:hAnsi="Times New Roman" w:cs="Times New Roman"/>
          <w:sz w:val="24"/>
          <w:szCs w:val="24"/>
          <w:lang w:val="ru-RU"/>
        </w:rPr>
        <w:t>ранијих истраживања (</w:t>
      </w:r>
      <w:r w:rsidR="00231EFC" w:rsidRPr="00D243D7">
        <w:rPr>
          <w:rFonts w:ascii="Times New Roman" w:hAnsi="Times New Roman"/>
          <w:sz w:val="24"/>
          <w:szCs w:val="24"/>
          <w:lang w:val="ru-RU"/>
        </w:rPr>
        <w:t>нпр. Марушич и др.</w:t>
      </w:r>
      <w:r w:rsidRPr="00D243D7">
        <w:rPr>
          <w:rFonts w:ascii="Times New Roman" w:eastAsia="Calibri" w:hAnsi="Times New Roman" w:cs="Times New Roman"/>
          <w:sz w:val="24"/>
          <w:szCs w:val="24"/>
          <w:lang w:val="ru-RU"/>
        </w:rPr>
        <w:t>) која претпостављају да хијерархијска и линеарна дистанца оперишу у</w:t>
      </w:r>
      <w:r w:rsidR="00231EFC" w:rsidRPr="00D243D7">
        <w:rPr>
          <w:rFonts w:ascii="Times New Roman" w:hAnsi="Times New Roman"/>
          <w:sz w:val="24"/>
          <w:szCs w:val="24"/>
          <w:lang w:val="ru-RU"/>
        </w:rPr>
        <w:t xml:space="preserve"> двема одвојеним граматикама, тако </w:t>
      </w:r>
      <w:r w:rsidRPr="00D243D7">
        <w:rPr>
          <w:rFonts w:ascii="Times New Roman" w:eastAsia="Calibri" w:hAnsi="Times New Roman" w:cs="Times New Roman"/>
          <w:sz w:val="24"/>
          <w:szCs w:val="24"/>
          <w:lang w:val="ru-RU"/>
        </w:rPr>
        <w:t xml:space="preserve"> да хијерархијска дистанца одређује избор само првог, а линеарна дистанца само последњег члана конјункције за контролора слагања, резултати истраживања Иване Митић показују да линеарна дистанца као секундарни фактор утиче и на слагање са првим чланом координираног субјекта. </w:t>
      </w:r>
      <w:r w:rsidR="00231EFC" w:rsidRPr="00D243D7">
        <w:rPr>
          <w:rFonts w:ascii="Times New Roman" w:hAnsi="Times New Roman"/>
          <w:sz w:val="24"/>
          <w:szCs w:val="24"/>
          <w:lang w:val="ru-RU"/>
        </w:rPr>
        <w:t xml:space="preserve">Ауторка </w:t>
      </w:r>
      <w:r w:rsidRPr="00D243D7">
        <w:rPr>
          <w:rFonts w:ascii="Times New Roman" w:eastAsia="Calibri" w:hAnsi="Times New Roman" w:cs="Times New Roman"/>
          <w:sz w:val="24"/>
          <w:szCs w:val="24"/>
          <w:lang w:val="ru-RU"/>
        </w:rPr>
        <w:t xml:space="preserve">примећује да умањење линеарне дистанце између првог члана конјункције и глагола повећава шансу да се глагол сложи са првим чланом, што директно утиче на смањено учешће слагања са последњим чланом, односно да увећање линеарне дистанце између првог члана и глагола умањује шансу за слагање са првим чланом, у прилог слагања са последњим чланом. Из ових резултата, </w:t>
      </w:r>
      <w:r w:rsidR="00231EFC" w:rsidRPr="00D243D7">
        <w:rPr>
          <w:rFonts w:ascii="Times New Roman" w:hAnsi="Times New Roman"/>
          <w:sz w:val="24"/>
          <w:szCs w:val="24"/>
          <w:lang w:val="ru-RU"/>
        </w:rPr>
        <w:t xml:space="preserve">Ивана Митић, супротно ранијој литератури, </w:t>
      </w:r>
      <w:r w:rsidRPr="00D243D7">
        <w:rPr>
          <w:rFonts w:ascii="Times New Roman" w:eastAsia="Calibri" w:hAnsi="Times New Roman" w:cs="Times New Roman"/>
          <w:sz w:val="24"/>
          <w:szCs w:val="24"/>
          <w:lang w:val="ru-RU"/>
        </w:rPr>
        <w:t xml:space="preserve">изводи закључак да су хијерархијска и линеарна дистанца фактори који утичу на слагање у </w:t>
      </w:r>
      <w:r w:rsidRPr="00D243D7">
        <w:rPr>
          <w:rFonts w:ascii="Times New Roman" w:eastAsia="Calibri" w:hAnsi="Times New Roman" w:cs="Times New Roman"/>
          <w:sz w:val="24"/>
          <w:szCs w:val="24"/>
          <w:lang w:val="ru-RU"/>
        </w:rPr>
        <w:lastRenderedPageBreak/>
        <w:t>оквиру једне граматике, бранећи став да сви резултати могу бити објашњени у комбинацији линеарне и хијерархијске хипотезе</w:t>
      </w:r>
      <w:r w:rsidR="004E515F">
        <w:rPr>
          <w:rFonts w:ascii="Times New Roman" w:eastAsia="Calibri" w:hAnsi="Times New Roman" w:cs="Times New Roman"/>
          <w:sz w:val="24"/>
          <w:szCs w:val="24"/>
          <w:lang w:val="ru-RU"/>
        </w:rPr>
        <w:t xml:space="preserve">, </w:t>
      </w:r>
      <w:r w:rsidRPr="00D243D7">
        <w:rPr>
          <w:rFonts w:ascii="Times New Roman" w:eastAsia="Calibri" w:hAnsi="Times New Roman" w:cs="Times New Roman"/>
          <w:sz w:val="24"/>
          <w:szCs w:val="24"/>
          <w:lang w:val="ru-RU"/>
        </w:rPr>
        <w:t xml:space="preserve"> коју је именовала као комбинована хипотеза.</w:t>
      </w:r>
    </w:p>
    <w:p w:rsidR="003A1441" w:rsidRPr="00D243D7" w:rsidRDefault="00AD30DF" w:rsidP="00D243D7">
      <w:pPr>
        <w:pStyle w:val="NoSpacing"/>
        <w:ind w:firstLine="720"/>
        <w:jc w:val="both"/>
        <w:rPr>
          <w:rFonts w:ascii="Times New Roman" w:hAnsi="Times New Roman"/>
          <w:color w:val="000000"/>
          <w:sz w:val="24"/>
          <w:szCs w:val="24"/>
        </w:rPr>
      </w:pPr>
      <w:r w:rsidRPr="00D243D7">
        <w:rPr>
          <w:rFonts w:ascii="Times New Roman" w:hAnsi="Times New Roman"/>
          <w:color w:val="000000"/>
          <w:sz w:val="24"/>
          <w:szCs w:val="24"/>
        </w:rPr>
        <w:t xml:space="preserve"> </w:t>
      </w:r>
    </w:p>
    <w:p w:rsidR="00B13EC6" w:rsidRPr="00D243D7" w:rsidRDefault="00B13EC6" w:rsidP="00D243D7">
      <w:pPr>
        <w:pStyle w:val="NoSpacing"/>
        <w:ind w:firstLine="720"/>
        <w:jc w:val="both"/>
        <w:rPr>
          <w:rFonts w:ascii="Times New Roman" w:hAnsi="Times New Roman"/>
          <w:color w:val="000000"/>
          <w:sz w:val="24"/>
          <w:szCs w:val="24"/>
        </w:rPr>
      </w:pPr>
      <w:r w:rsidRPr="00D243D7">
        <w:rPr>
          <w:rFonts w:ascii="Times New Roman" w:hAnsi="Times New Roman"/>
          <w:color w:val="000000"/>
          <w:sz w:val="24"/>
          <w:szCs w:val="24"/>
          <w:u w:val="single"/>
        </w:rPr>
        <w:t>У ч</w:t>
      </w:r>
      <w:r w:rsidR="003A1441" w:rsidRPr="00D243D7">
        <w:rPr>
          <w:rFonts w:ascii="Times New Roman" w:hAnsi="Times New Roman"/>
          <w:color w:val="000000"/>
          <w:sz w:val="24"/>
          <w:szCs w:val="24"/>
          <w:u w:val="single"/>
        </w:rPr>
        <w:t>етв</w:t>
      </w:r>
      <w:r w:rsidRPr="00D243D7">
        <w:rPr>
          <w:rFonts w:ascii="Times New Roman" w:hAnsi="Times New Roman"/>
          <w:color w:val="000000"/>
          <w:sz w:val="24"/>
          <w:szCs w:val="24"/>
          <w:u w:val="single"/>
        </w:rPr>
        <w:t>ртом  поглавље</w:t>
      </w:r>
      <w:r w:rsidRPr="00D243D7">
        <w:rPr>
          <w:rFonts w:ascii="Times New Roman" w:hAnsi="Times New Roman"/>
          <w:color w:val="000000"/>
          <w:sz w:val="24"/>
          <w:szCs w:val="24"/>
        </w:rPr>
        <w:t xml:space="preserve"> насловљеном "Т</w:t>
      </w:r>
      <w:r w:rsidR="003A1441" w:rsidRPr="00D243D7">
        <w:rPr>
          <w:rFonts w:ascii="Times New Roman" w:hAnsi="Times New Roman"/>
          <w:color w:val="000000"/>
          <w:sz w:val="24"/>
          <w:szCs w:val="24"/>
        </w:rPr>
        <w:t>еоријске импликације</w:t>
      </w:r>
      <w:r w:rsidRPr="00D243D7">
        <w:rPr>
          <w:rFonts w:ascii="Times New Roman" w:hAnsi="Times New Roman"/>
          <w:color w:val="000000"/>
          <w:sz w:val="24"/>
          <w:szCs w:val="24"/>
        </w:rPr>
        <w:t>"</w:t>
      </w:r>
      <w:r w:rsidR="003A1441" w:rsidRPr="00D243D7">
        <w:rPr>
          <w:rFonts w:ascii="Times New Roman" w:hAnsi="Times New Roman"/>
          <w:color w:val="000000"/>
          <w:sz w:val="24"/>
          <w:szCs w:val="24"/>
        </w:rPr>
        <w:t xml:space="preserve"> до</w:t>
      </w:r>
      <w:r w:rsidRPr="00D243D7">
        <w:rPr>
          <w:rFonts w:ascii="Times New Roman" w:hAnsi="Times New Roman"/>
          <w:color w:val="000000"/>
          <w:sz w:val="24"/>
          <w:szCs w:val="24"/>
        </w:rPr>
        <w:t xml:space="preserve">воде се </w:t>
      </w:r>
      <w:r w:rsidR="003A1441" w:rsidRPr="00D243D7">
        <w:rPr>
          <w:rFonts w:ascii="Times New Roman" w:hAnsi="Times New Roman"/>
          <w:color w:val="000000"/>
          <w:sz w:val="24"/>
          <w:szCs w:val="24"/>
        </w:rPr>
        <w:t xml:space="preserve"> у везу теоријске поставке и резултате претходних истраживања са резу</w:t>
      </w:r>
      <w:r w:rsidRPr="00D243D7">
        <w:rPr>
          <w:rFonts w:ascii="Times New Roman" w:hAnsi="Times New Roman"/>
          <w:color w:val="000000"/>
          <w:sz w:val="24"/>
          <w:szCs w:val="24"/>
        </w:rPr>
        <w:t xml:space="preserve">лтатима ауторкиног </w:t>
      </w:r>
      <w:r w:rsidR="003A1441" w:rsidRPr="00D243D7">
        <w:rPr>
          <w:rFonts w:ascii="Times New Roman" w:hAnsi="Times New Roman"/>
          <w:color w:val="000000"/>
          <w:sz w:val="24"/>
          <w:szCs w:val="24"/>
        </w:rPr>
        <w:t xml:space="preserve"> истраживања и </w:t>
      </w:r>
      <w:r w:rsidRPr="00D243D7">
        <w:rPr>
          <w:rFonts w:ascii="Times New Roman" w:hAnsi="Times New Roman"/>
          <w:color w:val="000000"/>
          <w:sz w:val="24"/>
          <w:szCs w:val="24"/>
        </w:rPr>
        <w:t xml:space="preserve">издвајају начини </w:t>
      </w:r>
      <w:r w:rsidR="003A1441" w:rsidRPr="00D243D7">
        <w:rPr>
          <w:rFonts w:ascii="Times New Roman" w:hAnsi="Times New Roman"/>
          <w:color w:val="000000"/>
          <w:sz w:val="24"/>
          <w:szCs w:val="24"/>
        </w:rPr>
        <w:t xml:space="preserve"> на које </w:t>
      </w:r>
      <w:r w:rsidRPr="00D243D7">
        <w:rPr>
          <w:rFonts w:ascii="Times New Roman" w:hAnsi="Times New Roman"/>
          <w:color w:val="000000"/>
          <w:sz w:val="24"/>
          <w:szCs w:val="24"/>
        </w:rPr>
        <w:t xml:space="preserve">у монографији презентовани </w:t>
      </w:r>
      <w:r w:rsidR="003A1441" w:rsidRPr="00D243D7">
        <w:rPr>
          <w:rFonts w:ascii="Times New Roman" w:hAnsi="Times New Roman"/>
          <w:color w:val="000000"/>
          <w:sz w:val="24"/>
          <w:szCs w:val="24"/>
        </w:rPr>
        <w:t xml:space="preserve">резултати надопуњују и редукују постојеће теорије, </w:t>
      </w:r>
      <w:r w:rsidRPr="00D243D7">
        <w:rPr>
          <w:rFonts w:ascii="Times New Roman" w:hAnsi="Times New Roman"/>
          <w:color w:val="000000"/>
          <w:sz w:val="24"/>
          <w:szCs w:val="24"/>
        </w:rPr>
        <w:t>чиме се даје и шира слика</w:t>
      </w:r>
      <w:r w:rsidR="003A1441" w:rsidRPr="00D243D7">
        <w:rPr>
          <w:rFonts w:ascii="Times New Roman" w:hAnsi="Times New Roman"/>
          <w:color w:val="000000"/>
          <w:sz w:val="24"/>
          <w:szCs w:val="24"/>
        </w:rPr>
        <w:t xml:space="preserve"> дисјункцијског слагања на материјалу српског језика. </w:t>
      </w:r>
    </w:p>
    <w:p w:rsidR="00B13EC6" w:rsidRPr="00D243D7" w:rsidRDefault="00B13EC6" w:rsidP="00D243D7">
      <w:pPr>
        <w:spacing w:after="0" w:line="240" w:lineRule="auto"/>
        <w:ind w:firstLine="720"/>
        <w:jc w:val="both"/>
        <w:rPr>
          <w:rFonts w:ascii="Times New Roman" w:hAnsi="Times New Roman"/>
          <w:sz w:val="24"/>
          <w:szCs w:val="24"/>
          <w:lang w:val="ru-RU"/>
        </w:rPr>
      </w:pPr>
      <w:r w:rsidRPr="00D243D7">
        <w:rPr>
          <w:rFonts w:ascii="Times New Roman" w:eastAsia="Calibri" w:hAnsi="Times New Roman" w:cs="Times New Roman"/>
          <w:sz w:val="24"/>
          <w:szCs w:val="24"/>
          <w:lang w:val="ru-RU"/>
        </w:rPr>
        <w:t>У овом поглављу, на основу резултата којима располаже, кандидаткиња</w:t>
      </w:r>
      <w:r w:rsidRPr="00D243D7">
        <w:rPr>
          <w:rFonts w:ascii="Times New Roman" w:hAnsi="Times New Roman"/>
          <w:sz w:val="24"/>
          <w:szCs w:val="24"/>
          <w:lang w:val="ru-RU"/>
        </w:rPr>
        <w:t xml:space="preserve">, дакле, </w:t>
      </w:r>
      <w:r w:rsidRPr="00D243D7">
        <w:rPr>
          <w:rFonts w:ascii="Times New Roman" w:eastAsia="Calibri" w:hAnsi="Times New Roman" w:cs="Times New Roman"/>
          <w:sz w:val="24"/>
          <w:szCs w:val="24"/>
          <w:lang w:val="ru-RU"/>
        </w:rPr>
        <w:t xml:space="preserve"> модификује доступне теоријске приступе и моделе, и формулише дефинитивне одговоре на питања учествује ли синтакса и учествује ли фонологија у одређивању контролора слагања, те каква је улога рода и броја у одређивању контролора слагања. Закључак је да хијерархијско слагање постоји у српском језику, те да хијерархијска блискост јесте фактор који утиче на слагање са првим чланом. Пошто повећање хијерархијске дистанце саме именице од глагола не умањује шансу да се глагол сложи са првим чланом, </w:t>
      </w:r>
      <w:r w:rsidR="004E515F">
        <w:rPr>
          <w:rFonts w:ascii="Times New Roman" w:eastAsia="Calibri" w:hAnsi="Times New Roman" w:cs="Times New Roman"/>
          <w:sz w:val="24"/>
          <w:szCs w:val="24"/>
          <w:lang w:val="ru-RU"/>
        </w:rPr>
        <w:t xml:space="preserve">ауторка </w:t>
      </w:r>
      <w:r w:rsidRPr="00D243D7">
        <w:rPr>
          <w:rFonts w:ascii="Times New Roman" w:eastAsia="Calibri" w:hAnsi="Times New Roman" w:cs="Times New Roman"/>
          <w:sz w:val="24"/>
          <w:szCs w:val="24"/>
          <w:lang w:val="ru-RU"/>
        </w:rPr>
        <w:t xml:space="preserve">тврди да се глагол не слаже са именицом већ са целим конјунктом. Линеарна блискост утиче не само на слагање са последњим чланом него и на слагање са првим чланом конјункције. </w:t>
      </w:r>
      <w:r w:rsidR="004E515F">
        <w:rPr>
          <w:rFonts w:ascii="Times New Roman" w:eastAsia="Calibri" w:hAnsi="Times New Roman" w:cs="Times New Roman"/>
          <w:sz w:val="24"/>
          <w:szCs w:val="24"/>
          <w:lang w:val="ru-RU"/>
        </w:rPr>
        <w:t xml:space="preserve">Ивана Митић </w:t>
      </w:r>
      <w:r w:rsidRPr="00D243D7">
        <w:rPr>
          <w:rFonts w:ascii="Times New Roman" w:eastAsia="Calibri" w:hAnsi="Times New Roman" w:cs="Times New Roman"/>
          <w:sz w:val="24"/>
          <w:szCs w:val="24"/>
          <w:lang w:val="ru-RU"/>
        </w:rPr>
        <w:t xml:space="preserve">тврди да се обрасци слагања међусобно </w:t>
      </w:r>
      <w:r w:rsidR="004E515F">
        <w:rPr>
          <w:rFonts w:ascii="Times New Roman" w:eastAsia="Calibri" w:hAnsi="Times New Roman" w:cs="Times New Roman"/>
          <w:sz w:val="24"/>
          <w:szCs w:val="24"/>
          <w:lang w:val="ru-RU"/>
        </w:rPr>
        <w:t>"</w:t>
      </w:r>
      <w:r w:rsidRPr="00D243D7">
        <w:rPr>
          <w:rFonts w:ascii="Times New Roman" w:eastAsia="Calibri" w:hAnsi="Times New Roman" w:cs="Times New Roman"/>
          <w:sz w:val="24"/>
          <w:szCs w:val="24"/>
          <w:lang w:val="ru-RU"/>
        </w:rPr>
        <w:t>надмећу</w:t>
      </w:r>
      <w:r w:rsidR="004E515F">
        <w:rPr>
          <w:rFonts w:ascii="Times New Roman" w:eastAsia="Calibri" w:hAnsi="Times New Roman" w:cs="Times New Roman"/>
          <w:sz w:val="24"/>
          <w:szCs w:val="24"/>
          <w:lang w:val="ru-RU"/>
        </w:rPr>
        <w:t>"</w:t>
      </w:r>
      <w:r w:rsidRPr="00D243D7">
        <w:rPr>
          <w:rFonts w:ascii="Times New Roman" w:eastAsia="Calibri" w:hAnsi="Times New Roman" w:cs="Times New Roman"/>
          <w:sz w:val="24"/>
          <w:szCs w:val="24"/>
          <w:lang w:val="ru-RU"/>
        </w:rPr>
        <w:t xml:space="preserve">: умањена линеарна дистанца између првог члана и глагола јача слагање са првим чланом, што умањује линеарно слагање, а увећана линеарна дистанца између првог члана и глагола слаби слагање са првим чланом, те је линеарно слагање значајно повећано. </w:t>
      </w:r>
    </w:p>
    <w:p w:rsidR="00E74F4C" w:rsidRPr="00D243D7" w:rsidRDefault="004E515F" w:rsidP="00D243D7">
      <w:pPr>
        <w:tabs>
          <w:tab w:val="left" w:pos="3402"/>
        </w:tabs>
        <w:spacing w:after="0" w:line="240" w:lineRule="auto"/>
        <w:ind w:firstLine="709"/>
        <w:jc w:val="both"/>
        <w:rPr>
          <w:rFonts w:ascii="Times New Roman" w:hAnsi="Times New Roman"/>
          <w:sz w:val="24"/>
          <w:szCs w:val="24"/>
        </w:rPr>
      </w:pPr>
      <w:r>
        <w:rPr>
          <w:rFonts w:ascii="Times New Roman" w:hAnsi="Times New Roman"/>
          <w:sz w:val="24"/>
          <w:szCs w:val="24"/>
          <w:lang w:val="ru-RU"/>
        </w:rPr>
        <w:t xml:space="preserve"> Међу </w:t>
      </w:r>
      <w:r w:rsidR="00E74F4C" w:rsidRPr="00D243D7">
        <w:rPr>
          <w:rFonts w:ascii="Times New Roman" w:hAnsi="Times New Roman"/>
          <w:sz w:val="24"/>
          <w:szCs w:val="24"/>
          <w:lang w:val="ru-RU"/>
        </w:rPr>
        <w:t xml:space="preserve"> резултата</w:t>
      </w:r>
      <w:r>
        <w:rPr>
          <w:rFonts w:ascii="Times New Roman" w:hAnsi="Times New Roman"/>
          <w:sz w:val="24"/>
          <w:szCs w:val="24"/>
          <w:lang w:val="ru-RU"/>
        </w:rPr>
        <w:t>тима</w:t>
      </w:r>
      <w:r w:rsidR="00E74F4C" w:rsidRPr="00D243D7">
        <w:rPr>
          <w:rFonts w:ascii="Times New Roman" w:hAnsi="Times New Roman"/>
          <w:sz w:val="24"/>
          <w:szCs w:val="24"/>
          <w:lang w:val="ru-RU"/>
        </w:rPr>
        <w:t xml:space="preserve"> које доноси монографија Иване Митић, </w:t>
      </w:r>
      <w:r>
        <w:rPr>
          <w:rFonts w:ascii="Times New Roman" w:hAnsi="Times New Roman"/>
          <w:sz w:val="24"/>
          <w:szCs w:val="24"/>
          <w:lang w:val="ru-RU"/>
        </w:rPr>
        <w:t>треба истаћи као значајан и следећи о</w:t>
      </w:r>
      <w:r w:rsidR="00E74F4C" w:rsidRPr="00D243D7">
        <w:rPr>
          <w:rFonts w:ascii="Times New Roman" w:hAnsi="Times New Roman"/>
          <w:sz w:val="24"/>
          <w:szCs w:val="24"/>
          <w:lang w:val="ru-RU"/>
        </w:rPr>
        <w:t xml:space="preserve"> саодносу копулативног </w:t>
      </w:r>
      <w:r w:rsidR="00E74F4C" w:rsidRPr="00D243D7">
        <w:rPr>
          <w:rFonts w:ascii="Times New Roman" w:hAnsi="Times New Roman"/>
          <w:i/>
          <w:sz w:val="24"/>
          <w:szCs w:val="24"/>
          <w:lang w:val="ru-RU"/>
        </w:rPr>
        <w:t>и</w:t>
      </w:r>
      <w:r w:rsidR="00E74F4C" w:rsidRPr="00D243D7">
        <w:rPr>
          <w:rFonts w:ascii="Times New Roman" w:hAnsi="Times New Roman"/>
          <w:sz w:val="24"/>
          <w:szCs w:val="24"/>
          <w:lang w:val="ru-RU"/>
        </w:rPr>
        <w:t xml:space="preserve"> и дисјунктивног </w:t>
      </w:r>
      <w:r w:rsidR="00E74F4C" w:rsidRPr="00D243D7">
        <w:rPr>
          <w:rFonts w:ascii="Times New Roman" w:hAnsi="Times New Roman"/>
          <w:i/>
          <w:sz w:val="24"/>
          <w:szCs w:val="24"/>
          <w:lang w:val="ru-RU"/>
        </w:rPr>
        <w:t xml:space="preserve">или </w:t>
      </w:r>
      <w:r w:rsidR="00E74F4C" w:rsidRPr="00D243D7">
        <w:rPr>
          <w:rFonts w:ascii="Times New Roman" w:hAnsi="Times New Roman"/>
          <w:sz w:val="24"/>
          <w:szCs w:val="24"/>
          <w:lang w:val="ru-RU"/>
        </w:rPr>
        <w:t xml:space="preserve">с обзиром на конгруенцију с предикатом. </w:t>
      </w:r>
      <w:r w:rsidR="00E74F4C" w:rsidRPr="00D243D7">
        <w:rPr>
          <w:rFonts w:ascii="Times New Roman" w:hAnsi="Times New Roman"/>
          <w:color w:val="000000"/>
          <w:sz w:val="24"/>
          <w:szCs w:val="24"/>
        </w:rPr>
        <w:t>Крећући од претпоставке "</w:t>
      </w:r>
      <w:r w:rsidR="00E74F4C" w:rsidRPr="00D243D7">
        <w:rPr>
          <w:rFonts w:ascii="Times New Roman" w:eastAsia="Calibri" w:hAnsi="Times New Roman" w:cs="Times New Roman"/>
          <w:color w:val="000000"/>
          <w:sz w:val="24"/>
          <w:szCs w:val="24"/>
        </w:rPr>
        <w:t xml:space="preserve">да се дисјункција у српском језику може дефинисати као раставна координација, као и да се разлика између конјункције и дисјункције огледа у начину на који везник </w:t>
      </w:r>
      <w:r w:rsidR="00E74F4C" w:rsidRPr="00D243D7">
        <w:rPr>
          <w:rFonts w:ascii="Times New Roman" w:eastAsia="Calibri" w:hAnsi="Times New Roman" w:cs="Times New Roman"/>
          <w:i/>
          <w:iCs/>
          <w:color w:val="000000"/>
          <w:sz w:val="24"/>
          <w:szCs w:val="24"/>
        </w:rPr>
        <w:t>и</w:t>
      </w:r>
      <w:r w:rsidR="00E74F4C" w:rsidRPr="00D243D7">
        <w:rPr>
          <w:rFonts w:ascii="Times New Roman" w:eastAsia="Calibri" w:hAnsi="Times New Roman" w:cs="Times New Roman"/>
          <w:color w:val="000000"/>
          <w:sz w:val="24"/>
          <w:szCs w:val="24"/>
        </w:rPr>
        <w:t>/</w:t>
      </w:r>
      <w:r w:rsidR="00E74F4C" w:rsidRPr="00D243D7">
        <w:rPr>
          <w:rFonts w:ascii="Times New Roman" w:eastAsia="Calibri" w:hAnsi="Times New Roman" w:cs="Times New Roman"/>
          <w:i/>
          <w:iCs/>
          <w:color w:val="000000"/>
          <w:sz w:val="24"/>
          <w:szCs w:val="24"/>
        </w:rPr>
        <w:t>или</w:t>
      </w:r>
      <w:r w:rsidR="00E74F4C" w:rsidRPr="00D243D7">
        <w:rPr>
          <w:rFonts w:ascii="Times New Roman" w:eastAsia="Calibri" w:hAnsi="Times New Roman" w:cs="Times New Roman"/>
          <w:color w:val="000000"/>
          <w:sz w:val="24"/>
          <w:szCs w:val="24"/>
        </w:rPr>
        <w:t xml:space="preserve"> остварује интеракцију са морфофонолошким факторима као што су линеарна блискост и синкретиз</w:t>
      </w:r>
      <w:r w:rsidR="00E74F4C" w:rsidRPr="00D243D7">
        <w:rPr>
          <w:rFonts w:ascii="Times New Roman" w:hAnsi="Times New Roman"/>
          <w:color w:val="000000"/>
          <w:sz w:val="24"/>
          <w:szCs w:val="24"/>
        </w:rPr>
        <w:t xml:space="preserve">ам", ауторка констатује да </w:t>
      </w:r>
      <w:r w:rsidR="00E74F4C" w:rsidRPr="00D243D7">
        <w:rPr>
          <w:rFonts w:ascii="Times New Roman" w:eastAsia="Calibri" w:hAnsi="Times New Roman" w:cs="Times New Roman"/>
          <w:color w:val="000000"/>
          <w:sz w:val="24"/>
          <w:szCs w:val="24"/>
        </w:rPr>
        <w:t xml:space="preserve"> </w:t>
      </w:r>
      <w:r w:rsidR="00E74F4C" w:rsidRPr="00D243D7">
        <w:rPr>
          <w:rStyle w:val="markedcontent"/>
          <w:rFonts w:ascii="Times New Roman" w:hAnsi="Times New Roman"/>
          <w:color w:val="000000"/>
          <w:sz w:val="24"/>
          <w:szCs w:val="24"/>
        </w:rPr>
        <w:t>"</w:t>
      </w:r>
      <w:r w:rsidR="00E74F4C" w:rsidRPr="00D243D7">
        <w:rPr>
          <w:rFonts w:ascii="Times New Roman" w:eastAsia="Calibri" w:hAnsi="Times New Roman" w:cs="Times New Roman"/>
          <w:color w:val="000000"/>
          <w:sz w:val="24"/>
          <w:szCs w:val="24"/>
        </w:rPr>
        <w:t>статус хијерархијског, разрешеног и линеарног слагања  није исти у конјункцији и дисјункцији</w:t>
      </w:r>
      <w:r w:rsidR="00E74F4C" w:rsidRPr="00D243D7">
        <w:rPr>
          <w:rFonts w:ascii="Times New Roman" w:hAnsi="Times New Roman"/>
          <w:color w:val="000000"/>
          <w:sz w:val="24"/>
          <w:szCs w:val="24"/>
        </w:rPr>
        <w:t>", истичући "</w:t>
      </w:r>
      <w:r w:rsidR="00E74F4C" w:rsidRPr="00D243D7">
        <w:rPr>
          <w:rFonts w:ascii="Times New Roman" w:eastAsia="Calibri" w:hAnsi="Times New Roman" w:cs="Times New Roman"/>
          <w:color w:val="000000"/>
          <w:sz w:val="24"/>
          <w:szCs w:val="24"/>
        </w:rPr>
        <w:t xml:space="preserve">да би слагање са дисјунктивним субјектом могло да се дефинише као процес у коме је слагање у роду и броју детерминисано морфофонолошким факторима, при чему дисјункција посредована морфофонолошким факторима умањује прихватљивост разрешеног слагања, а јача прихватљивост хијерархијског. У дисјункцији је мања шанса да дође до неуспелог слагања него у конјункцији јер везник </w:t>
      </w:r>
      <w:r w:rsidR="00E74F4C" w:rsidRPr="00D243D7">
        <w:rPr>
          <w:rFonts w:ascii="Times New Roman" w:eastAsia="Calibri" w:hAnsi="Times New Roman" w:cs="Times New Roman"/>
          <w:i/>
          <w:iCs/>
          <w:color w:val="000000"/>
          <w:sz w:val="24"/>
          <w:szCs w:val="24"/>
        </w:rPr>
        <w:t>или</w:t>
      </w:r>
      <w:r w:rsidR="00E74F4C" w:rsidRPr="00D243D7">
        <w:rPr>
          <w:rFonts w:ascii="Times New Roman" w:eastAsia="Calibri" w:hAnsi="Times New Roman" w:cs="Times New Roman"/>
          <w:color w:val="000000"/>
          <w:sz w:val="24"/>
          <w:szCs w:val="24"/>
        </w:rPr>
        <w:t xml:space="preserve"> због свог дистрибутивног значења утиче да један од чланова постане контролор слагања у роду пре него да се деси неуспело слагање</w:t>
      </w:r>
      <w:r w:rsidR="00E74F4C" w:rsidRPr="00D243D7">
        <w:rPr>
          <w:rFonts w:ascii="Times New Roman" w:eastAsia="Calibri" w:hAnsi="Times New Roman" w:cs="Times New Roman"/>
          <w:sz w:val="24"/>
          <w:szCs w:val="24"/>
        </w:rPr>
        <w:t>.</w:t>
      </w:r>
      <w:r w:rsidR="00E74F4C" w:rsidRPr="00D243D7">
        <w:rPr>
          <w:rFonts w:ascii="Times New Roman" w:hAnsi="Times New Roman"/>
          <w:sz w:val="24"/>
          <w:szCs w:val="24"/>
        </w:rPr>
        <w:t>"</w:t>
      </w:r>
      <w:r w:rsidR="00E74F4C" w:rsidRPr="00D243D7">
        <w:rPr>
          <w:rFonts w:ascii="Times New Roman" w:eastAsia="Calibri" w:hAnsi="Times New Roman" w:cs="Times New Roman"/>
          <w:sz w:val="24"/>
          <w:szCs w:val="24"/>
        </w:rPr>
        <w:t xml:space="preserve"> </w:t>
      </w:r>
    </w:p>
    <w:p w:rsidR="00E74F4C" w:rsidRPr="00D243D7" w:rsidRDefault="00E74F4C" w:rsidP="00D243D7">
      <w:pPr>
        <w:tabs>
          <w:tab w:val="left" w:pos="3402"/>
        </w:tabs>
        <w:spacing w:after="0" w:line="240" w:lineRule="auto"/>
        <w:ind w:firstLine="709"/>
        <w:jc w:val="both"/>
        <w:rPr>
          <w:rFonts w:ascii="Times New Roman" w:hAnsi="Times New Roman"/>
          <w:noProof/>
          <w:sz w:val="24"/>
          <w:szCs w:val="24"/>
          <w:lang w:val="ru-RU"/>
        </w:rPr>
      </w:pPr>
      <w:r w:rsidRPr="00D243D7">
        <w:rPr>
          <w:rFonts w:ascii="Times New Roman" w:hAnsi="Times New Roman"/>
          <w:noProof/>
          <w:sz w:val="24"/>
          <w:szCs w:val="24"/>
          <w:lang w:val="ru-RU"/>
        </w:rPr>
        <w:t xml:space="preserve">У </w:t>
      </w:r>
      <w:r w:rsidRPr="00D243D7">
        <w:rPr>
          <w:rFonts w:ascii="Times New Roman" w:eastAsia="Calibri" w:hAnsi="Times New Roman" w:cs="Times New Roman"/>
          <w:i/>
          <w:noProof/>
          <w:sz w:val="24"/>
          <w:szCs w:val="24"/>
          <w:lang w:val="ru-RU"/>
        </w:rPr>
        <w:t>Закључ</w:t>
      </w:r>
      <w:r w:rsidRPr="00D243D7">
        <w:rPr>
          <w:rFonts w:ascii="Times New Roman" w:hAnsi="Times New Roman"/>
          <w:i/>
          <w:noProof/>
          <w:sz w:val="24"/>
          <w:szCs w:val="24"/>
          <w:lang w:val="ru-RU"/>
        </w:rPr>
        <w:t>ку</w:t>
      </w:r>
      <w:r w:rsidRPr="00D243D7">
        <w:rPr>
          <w:rFonts w:ascii="Times New Roman" w:hAnsi="Times New Roman"/>
          <w:noProof/>
          <w:sz w:val="24"/>
          <w:szCs w:val="24"/>
          <w:lang w:val="ru-RU"/>
        </w:rPr>
        <w:t xml:space="preserve"> као петом поглављу </w:t>
      </w:r>
      <w:r w:rsidRPr="00D243D7">
        <w:rPr>
          <w:rFonts w:ascii="Times New Roman" w:eastAsia="Calibri" w:hAnsi="Times New Roman" w:cs="Times New Roman"/>
          <w:noProof/>
          <w:sz w:val="24"/>
          <w:szCs w:val="24"/>
          <w:lang w:val="ru-RU"/>
        </w:rPr>
        <w:t xml:space="preserve"> сумирају</w:t>
      </w:r>
      <w:r w:rsidRPr="00D243D7">
        <w:rPr>
          <w:rFonts w:ascii="Times New Roman" w:hAnsi="Times New Roman"/>
          <w:noProof/>
          <w:sz w:val="24"/>
          <w:szCs w:val="24"/>
          <w:lang w:val="ru-RU"/>
        </w:rPr>
        <w:t xml:space="preserve"> се</w:t>
      </w:r>
      <w:r w:rsidRPr="00D243D7">
        <w:rPr>
          <w:rFonts w:ascii="Times New Roman" w:eastAsia="Calibri" w:hAnsi="Times New Roman" w:cs="Times New Roman"/>
          <w:noProof/>
          <w:sz w:val="24"/>
          <w:szCs w:val="24"/>
          <w:lang w:val="ru-RU"/>
        </w:rPr>
        <w:t xml:space="preserve"> резултати истраживања и резимира статус хипотеза након проведених експерименталних тестова. </w:t>
      </w:r>
    </w:p>
    <w:p w:rsidR="00F33099" w:rsidRDefault="00510877" w:rsidP="00D243D7">
      <w:pPr>
        <w:tabs>
          <w:tab w:val="left" w:pos="3402"/>
        </w:tabs>
        <w:spacing w:after="0" w:line="240" w:lineRule="auto"/>
        <w:ind w:firstLine="709"/>
        <w:jc w:val="both"/>
        <w:rPr>
          <w:rFonts w:ascii="Times New Roman" w:hAnsi="Times New Roman"/>
          <w:noProof/>
          <w:sz w:val="24"/>
          <w:szCs w:val="24"/>
          <w:lang w:val="sr-Cyrl-CS"/>
        </w:rPr>
      </w:pPr>
      <w:r w:rsidRPr="00D243D7">
        <w:rPr>
          <w:rFonts w:ascii="Times New Roman" w:hAnsi="Times New Roman"/>
          <w:noProof/>
          <w:sz w:val="24"/>
          <w:szCs w:val="24"/>
          <w:lang w:val="ru-RU"/>
        </w:rPr>
        <w:t xml:space="preserve">Кратак увид у садржај монографије Иване Митић </w:t>
      </w:r>
      <w:r w:rsidR="00217B7B" w:rsidRPr="00D243D7">
        <w:rPr>
          <w:rFonts w:ascii="Times New Roman" w:hAnsi="Times New Roman" w:cs="Times New Roman"/>
          <w:i/>
          <w:sz w:val="24"/>
          <w:szCs w:val="24"/>
          <w:lang w:val="sr-Cyrl-CS"/>
        </w:rPr>
        <w:t xml:space="preserve">О конгруенцији предиката са дисјунктивним субјектом у српском језику </w:t>
      </w:r>
      <w:r w:rsidR="00217B7B" w:rsidRPr="00D243D7">
        <w:rPr>
          <w:rFonts w:ascii="Times New Roman" w:hAnsi="Times New Roman" w:cs="Times New Roman"/>
          <w:sz w:val="24"/>
          <w:szCs w:val="24"/>
          <w:lang w:val="sr-Cyrl-CS"/>
        </w:rPr>
        <w:t xml:space="preserve">показује да је тема којом се ауторка бавила врло захтевна и на теоријском и на емпиријском плану. Основно питање, око кога, пре свега у несрбистичкој литератури, не постоји сагласност, а за чијим одговором трага Ивана Митић јесте: </w:t>
      </w:r>
      <w:r w:rsidR="00217B7B" w:rsidRPr="00D243D7">
        <w:rPr>
          <w:rFonts w:ascii="Times New Roman" w:eastAsia="Calibri" w:hAnsi="Times New Roman" w:cs="Times New Roman"/>
          <w:noProof/>
          <w:sz w:val="24"/>
          <w:szCs w:val="24"/>
        </w:rPr>
        <w:t>које су емпиријске чињенице и теоријске последице слагања глагола са једним чланом координираног субјекта</w:t>
      </w:r>
      <w:r w:rsidR="00217B7B" w:rsidRPr="00D243D7">
        <w:rPr>
          <w:rFonts w:ascii="Times New Roman" w:hAnsi="Times New Roman"/>
          <w:noProof/>
          <w:sz w:val="24"/>
          <w:szCs w:val="24"/>
        </w:rPr>
        <w:t xml:space="preserve">. Чињеница </w:t>
      </w:r>
      <w:r w:rsidR="00217B7B" w:rsidRPr="00D243D7">
        <w:rPr>
          <w:rFonts w:ascii="Times New Roman" w:eastAsia="Calibri" w:hAnsi="Times New Roman" w:cs="Times New Roman"/>
          <w:noProof/>
          <w:sz w:val="24"/>
          <w:szCs w:val="24"/>
        </w:rPr>
        <w:t>да се глагол у српском језику најчешће слаже са контролоро</w:t>
      </w:r>
      <w:r w:rsidR="00217B7B" w:rsidRPr="00D243D7">
        <w:rPr>
          <w:rFonts w:ascii="Times New Roman" w:hAnsi="Times New Roman"/>
          <w:noProof/>
          <w:sz w:val="24"/>
          <w:szCs w:val="24"/>
        </w:rPr>
        <w:t>м који му је линеарно ближи</w:t>
      </w:r>
      <w:r w:rsidR="00217B7B" w:rsidRPr="00D243D7">
        <w:rPr>
          <w:rFonts w:ascii="Times New Roman" w:eastAsia="Calibri" w:hAnsi="Times New Roman" w:cs="Times New Roman"/>
          <w:noProof/>
          <w:sz w:val="24"/>
          <w:szCs w:val="24"/>
        </w:rPr>
        <w:t xml:space="preserve"> </w:t>
      </w:r>
      <w:r w:rsidR="00217B7B" w:rsidRPr="00D243D7">
        <w:rPr>
          <w:rFonts w:ascii="Times New Roman" w:hAnsi="Times New Roman"/>
          <w:noProof/>
          <w:sz w:val="24"/>
          <w:szCs w:val="24"/>
        </w:rPr>
        <w:t xml:space="preserve">супротна је </w:t>
      </w:r>
      <w:r w:rsidR="00217B7B" w:rsidRPr="00D243D7">
        <w:rPr>
          <w:rFonts w:ascii="Times New Roman" w:eastAsia="Calibri" w:hAnsi="Times New Roman" w:cs="Times New Roman"/>
          <w:noProof/>
          <w:sz w:val="24"/>
          <w:szCs w:val="24"/>
        </w:rPr>
        <w:t xml:space="preserve"> принципима које формулише Ноам Чомски</w:t>
      </w:r>
      <w:r w:rsidR="00217B7B" w:rsidRPr="00D243D7">
        <w:rPr>
          <w:rFonts w:ascii="Times New Roman" w:hAnsi="Times New Roman"/>
          <w:noProof/>
          <w:sz w:val="24"/>
          <w:szCs w:val="24"/>
        </w:rPr>
        <w:t xml:space="preserve"> </w:t>
      </w:r>
      <w:r w:rsidR="00217B7B" w:rsidRPr="00D243D7">
        <w:rPr>
          <w:rFonts w:ascii="Times New Roman" w:hAnsi="Times New Roman" w:cs="Times New Roman"/>
          <w:sz w:val="24"/>
          <w:szCs w:val="24"/>
          <w:lang w:val="sr-Cyrl-CS"/>
        </w:rPr>
        <w:t xml:space="preserve"> </w:t>
      </w:r>
      <w:r w:rsidR="00217B7B" w:rsidRPr="00D243D7">
        <w:rPr>
          <w:rFonts w:ascii="Times New Roman" w:eastAsia="Calibri" w:hAnsi="Times New Roman" w:cs="Times New Roman"/>
          <w:noProof/>
          <w:sz w:val="24"/>
          <w:szCs w:val="24"/>
        </w:rPr>
        <w:t>о ограничености синтаксе  на хијерархијски тип структурних односа</w:t>
      </w:r>
      <w:r w:rsidR="00217B7B" w:rsidRPr="00D243D7">
        <w:rPr>
          <w:rFonts w:ascii="Times New Roman" w:hAnsi="Times New Roman"/>
          <w:noProof/>
          <w:sz w:val="24"/>
          <w:szCs w:val="24"/>
        </w:rPr>
        <w:t xml:space="preserve">. </w:t>
      </w:r>
      <w:r w:rsidR="00217B7B" w:rsidRPr="00D243D7">
        <w:rPr>
          <w:rFonts w:ascii="Times New Roman" w:eastAsia="Calibri" w:hAnsi="Times New Roman" w:cs="Times New Roman"/>
          <w:noProof/>
          <w:sz w:val="24"/>
          <w:szCs w:val="24"/>
        </w:rPr>
        <w:t xml:space="preserve">Резултати истраживања представљеног у </w:t>
      </w:r>
      <w:r w:rsidR="00217B7B" w:rsidRPr="00D243D7">
        <w:rPr>
          <w:rFonts w:ascii="Times New Roman" w:hAnsi="Times New Roman"/>
          <w:noProof/>
          <w:sz w:val="24"/>
          <w:szCs w:val="24"/>
        </w:rPr>
        <w:t xml:space="preserve">монографији </w:t>
      </w:r>
      <w:r w:rsidR="000008E2" w:rsidRPr="00D243D7">
        <w:rPr>
          <w:rFonts w:ascii="Times New Roman" w:hAnsi="Times New Roman"/>
          <w:noProof/>
          <w:sz w:val="24"/>
          <w:szCs w:val="24"/>
        </w:rPr>
        <w:t>значајни су  докази</w:t>
      </w:r>
      <w:r w:rsidR="00217B7B" w:rsidRPr="00D243D7">
        <w:rPr>
          <w:rFonts w:ascii="Times New Roman" w:eastAsia="Calibri" w:hAnsi="Times New Roman" w:cs="Times New Roman"/>
          <w:noProof/>
          <w:sz w:val="24"/>
          <w:szCs w:val="24"/>
        </w:rPr>
        <w:t xml:space="preserve"> у прилог хипотезе да је конгруенција процес који </w:t>
      </w:r>
      <w:r w:rsidR="00217B7B" w:rsidRPr="00D243D7">
        <w:rPr>
          <w:rFonts w:ascii="Times New Roman" w:eastAsia="Calibri" w:hAnsi="Times New Roman" w:cs="Times New Roman"/>
          <w:noProof/>
          <w:sz w:val="24"/>
          <w:szCs w:val="24"/>
        </w:rPr>
        <w:lastRenderedPageBreak/>
        <w:t>укључује</w:t>
      </w:r>
      <w:r w:rsidR="00F33099">
        <w:rPr>
          <w:rFonts w:ascii="Times New Roman" w:eastAsia="Calibri" w:hAnsi="Times New Roman" w:cs="Times New Roman"/>
          <w:noProof/>
          <w:sz w:val="24"/>
          <w:szCs w:val="24"/>
          <w:lang w:val="sr-Cyrl-CS"/>
        </w:rPr>
        <w:t xml:space="preserve"> и</w:t>
      </w:r>
      <w:r w:rsidR="00217B7B" w:rsidRPr="00D243D7">
        <w:rPr>
          <w:rFonts w:ascii="Times New Roman" w:eastAsia="Calibri" w:hAnsi="Times New Roman" w:cs="Times New Roman"/>
          <w:noProof/>
          <w:sz w:val="24"/>
          <w:szCs w:val="24"/>
        </w:rPr>
        <w:t xml:space="preserve"> фонологију. </w:t>
      </w:r>
      <w:r w:rsidR="00217B7B" w:rsidRPr="00D243D7">
        <w:rPr>
          <w:rFonts w:ascii="Times New Roman" w:hAnsi="Times New Roman"/>
          <w:noProof/>
          <w:sz w:val="24"/>
          <w:szCs w:val="24"/>
        </w:rPr>
        <w:t xml:space="preserve">Ивана Митић притом </w:t>
      </w:r>
      <w:r w:rsidR="00217B7B" w:rsidRPr="00D243D7">
        <w:rPr>
          <w:rFonts w:ascii="Times New Roman" w:eastAsia="Calibri" w:hAnsi="Times New Roman" w:cs="Times New Roman"/>
          <w:noProof/>
          <w:sz w:val="24"/>
          <w:szCs w:val="24"/>
        </w:rPr>
        <w:t>предлаже нови модел код кога су чисто синтаксичко и слагање које укључује фонологију део исте граматике, и за овај модел нуди оригиналне доказе (пре свега то што повећана линеарна дистанца између првог члана конјункције и глагола умањује шансу да се глагол сложи са тим чланом, иако тај члан једино чисто хијерархијским слагањем може победити остале).</w:t>
      </w:r>
      <w:r w:rsidR="00217B7B" w:rsidRPr="00D243D7">
        <w:rPr>
          <w:rFonts w:ascii="Times New Roman" w:hAnsi="Times New Roman"/>
          <w:noProof/>
          <w:sz w:val="24"/>
          <w:szCs w:val="24"/>
        </w:rPr>
        <w:t xml:space="preserve"> Уз интерференцију синтаксичк</w:t>
      </w:r>
      <w:r w:rsidR="00F33099">
        <w:rPr>
          <w:rFonts w:ascii="Times New Roman" w:hAnsi="Times New Roman"/>
          <w:noProof/>
          <w:sz w:val="24"/>
          <w:szCs w:val="24"/>
        </w:rPr>
        <w:t>о-фонолошких критеријума у одре</w:t>
      </w:r>
      <w:r w:rsidR="00217B7B" w:rsidRPr="00D243D7">
        <w:rPr>
          <w:rFonts w:ascii="Times New Roman" w:hAnsi="Times New Roman"/>
          <w:noProof/>
          <w:sz w:val="24"/>
          <w:szCs w:val="24"/>
        </w:rPr>
        <w:t xml:space="preserve">ђењу конгруенције, Ивана Митић у монографији даје и одговор на питање </w:t>
      </w:r>
      <w:r w:rsidR="000008E2" w:rsidRPr="00D243D7">
        <w:rPr>
          <w:rFonts w:ascii="Times New Roman" w:hAnsi="Times New Roman"/>
          <w:noProof/>
          <w:sz w:val="24"/>
          <w:szCs w:val="24"/>
        </w:rPr>
        <w:t xml:space="preserve">да ли род и број </w:t>
      </w:r>
      <w:r w:rsidR="00217B7B" w:rsidRPr="00D243D7">
        <w:rPr>
          <w:rFonts w:ascii="Times New Roman" w:eastAsia="Calibri" w:hAnsi="Times New Roman" w:cs="Times New Roman"/>
          <w:noProof/>
          <w:sz w:val="24"/>
          <w:szCs w:val="24"/>
        </w:rPr>
        <w:t xml:space="preserve"> заједно учествују у процесу слагања. Резултати ранијих експерименталних истраживања потврђују да постоје језици у којима се род и број одвојено слажу, при чему број, у већини случајева, игра важнију улогу у односу на род приликом одређивања контролора слагања. Експериментално истраживање </w:t>
      </w:r>
      <w:r w:rsidR="00F33099">
        <w:rPr>
          <w:rFonts w:ascii="Times New Roman" w:eastAsia="Calibri" w:hAnsi="Times New Roman" w:cs="Times New Roman"/>
          <w:noProof/>
          <w:sz w:val="24"/>
          <w:szCs w:val="24"/>
          <w:lang w:val="sr-Cyrl-CS"/>
        </w:rPr>
        <w:t xml:space="preserve">које је провела </w:t>
      </w:r>
      <w:r w:rsidR="00F33099">
        <w:rPr>
          <w:rFonts w:ascii="Times New Roman" w:eastAsia="Calibri" w:hAnsi="Times New Roman" w:cs="Times New Roman"/>
          <w:noProof/>
          <w:sz w:val="24"/>
          <w:szCs w:val="24"/>
        </w:rPr>
        <w:t>Иван</w:t>
      </w:r>
      <w:r w:rsidR="00F33099">
        <w:rPr>
          <w:rFonts w:ascii="Times New Roman" w:eastAsia="Calibri" w:hAnsi="Times New Roman" w:cs="Times New Roman"/>
          <w:noProof/>
          <w:sz w:val="24"/>
          <w:szCs w:val="24"/>
          <w:lang w:val="sr-Cyrl-CS"/>
        </w:rPr>
        <w:t>а</w:t>
      </w:r>
      <w:r w:rsidR="00217B7B" w:rsidRPr="00D243D7">
        <w:rPr>
          <w:rFonts w:ascii="Times New Roman" w:eastAsia="Calibri" w:hAnsi="Times New Roman" w:cs="Times New Roman"/>
          <w:noProof/>
          <w:sz w:val="24"/>
          <w:szCs w:val="24"/>
        </w:rPr>
        <w:t xml:space="preserve"> Митић показује раније незабележене контексте у којима род код одређивања контролора слагања односи превагу над бројем.</w:t>
      </w:r>
      <w:r w:rsidR="000008E2" w:rsidRPr="00D243D7">
        <w:rPr>
          <w:rFonts w:ascii="Times New Roman" w:hAnsi="Times New Roman"/>
          <w:noProof/>
          <w:sz w:val="24"/>
          <w:szCs w:val="24"/>
        </w:rPr>
        <w:t xml:space="preserve"> </w:t>
      </w:r>
    </w:p>
    <w:p w:rsidR="00217B7B" w:rsidRPr="00F33099" w:rsidRDefault="000008E2" w:rsidP="00D243D7">
      <w:pPr>
        <w:tabs>
          <w:tab w:val="left" w:pos="3402"/>
        </w:tabs>
        <w:spacing w:after="0" w:line="240" w:lineRule="auto"/>
        <w:ind w:firstLine="709"/>
        <w:jc w:val="both"/>
        <w:rPr>
          <w:rFonts w:ascii="Times New Roman" w:hAnsi="Times New Roman"/>
          <w:noProof/>
          <w:sz w:val="24"/>
          <w:szCs w:val="24"/>
        </w:rPr>
      </w:pPr>
      <w:r w:rsidRPr="00D243D7">
        <w:rPr>
          <w:rFonts w:ascii="Times New Roman" w:hAnsi="Times New Roman"/>
          <w:noProof/>
          <w:sz w:val="24"/>
          <w:szCs w:val="24"/>
        </w:rPr>
        <w:t xml:space="preserve">Штета је једино што се Ивана Митић није детаљније у монографији позабавила и нормативним статусом новооткривених типова конгруенције, како би они ушли у нормативно-граматички  синтаксички систем српскога језика. Општепознато је, наиме, да све што је </w:t>
      </w:r>
      <w:r w:rsidR="009150F4" w:rsidRPr="00D243D7">
        <w:rPr>
          <w:rFonts w:ascii="Times New Roman" w:hAnsi="Times New Roman"/>
          <w:noProof/>
          <w:sz w:val="24"/>
          <w:szCs w:val="24"/>
        </w:rPr>
        <w:t>теоријски образложено и емпири</w:t>
      </w:r>
      <w:r w:rsidRPr="00D243D7">
        <w:rPr>
          <w:rFonts w:ascii="Times New Roman" w:hAnsi="Times New Roman"/>
          <w:noProof/>
          <w:sz w:val="24"/>
          <w:szCs w:val="24"/>
        </w:rPr>
        <w:t>ј</w:t>
      </w:r>
      <w:r w:rsidR="009150F4" w:rsidRPr="00D243D7">
        <w:rPr>
          <w:rFonts w:ascii="Times New Roman" w:hAnsi="Times New Roman"/>
          <w:noProof/>
          <w:sz w:val="24"/>
          <w:szCs w:val="24"/>
        </w:rPr>
        <w:t>с</w:t>
      </w:r>
      <w:r w:rsidRPr="00D243D7">
        <w:rPr>
          <w:rFonts w:ascii="Times New Roman" w:hAnsi="Times New Roman"/>
          <w:noProof/>
          <w:sz w:val="24"/>
          <w:szCs w:val="24"/>
        </w:rPr>
        <w:t xml:space="preserve">ки потврђено, није нужно и нормативно. </w:t>
      </w:r>
      <w:r w:rsidR="00217B7B" w:rsidRPr="00D243D7">
        <w:rPr>
          <w:rFonts w:ascii="Times New Roman" w:eastAsia="Calibri" w:hAnsi="Times New Roman" w:cs="Times New Roman"/>
          <w:noProof/>
          <w:sz w:val="24"/>
          <w:szCs w:val="24"/>
        </w:rPr>
        <w:t xml:space="preserve"> </w:t>
      </w:r>
    </w:p>
    <w:p w:rsidR="00217B7B" w:rsidRPr="00D243D7" w:rsidRDefault="000008E2" w:rsidP="00D243D7">
      <w:pPr>
        <w:spacing w:after="0" w:line="240" w:lineRule="auto"/>
        <w:jc w:val="both"/>
        <w:rPr>
          <w:rFonts w:ascii="Times New Roman" w:eastAsia="Calibri" w:hAnsi="Times New Roman" w:cs="Times New Roman"/>
          <w:noProof/>
          <w:sz w:val="24"/>
          <w:szCs w:val="24"/>
        </w:rPr>
      </w:pPr>
      <w:r w:rsidRPr="00D243D7">
        <w:rPr>
          <w:rFonts w:ascii="Times New Roman" w:hAnsi="Times New Roman"/>
          <w:noProof/>
          <w:sz w:val="24"/>
          <w:szCs w:val="24"/>
        </w:rPr>
        <w:t xml:space="preserve">   </w:t>
      </w:r>
      <w:r w:rsidR="009150F4" w:rsidRPr="00D243D7">
        <w:rPr>
          <w:rFonts w:ascii="Times New Roman" w:hAnsi="Times New Roman"/>
          <w:noProof/>
          <w:sz w:val="24"/>
          <w:szCs w:val="24"/>
        </w:rPr>
        <w:t xml:space="preserve">А најбитнији </w:t>
      </w:r>
      <w:r w:rsidR="00217B7B" w:rsidRPr="00D243D7">
        <w:rPr>
          <w:rFonts w:ascii="Times New Roman" w:eastAsia="Calibri" w:hAnsi="Times New Roman" w:cs="Times New Roman"/>
          <w:noProof/>
          <w:sz w:val="24"/>
          <w:szCs w:val="24"/>
        </w:rPr>
        <w:t>допринос</w:t>
      </w:r>
      <w:r w:rsidRPr="00D243D7">
        <w:rPr>
          <w:rFonts w:ascii="Times New Roman" w:hAnsi="Times New Roman"/>
          <w:noProof/>
          <w:sz w:val="24"/>
          <w:szCs w:val="24"/>
        </w:rPr>
        <w:t xml:space="preserve">и </w:t>
      </w:r>
      <w:r w:rsidR="00217B7B" w:rsidRPr="00D243D7">
        <w:rPr>
          <w:rFonts w:ascii="Times New Roman" w:eastAsia="Calibri" w:hAnsi="Times New Roman" w:cs="Times New Roman"/>
          <w:noProof/>
          <w:sz w:val="24"/>
          <w:szCs w:val="24"/>
        </w:rPr>
        <w:t xml:space="preserve"> </w:t>
      </w:r>
      <w:r w:rsidRPr="00D243D7">
        <w:rPr>
          <w:rFonts w:ascii="Times New Roman" w:hAnsi="Times New Roman"/>
          <w:noProof/>
          <w:sz w:val="24"/>
          <w:szCs w:val="24"/>
        </w:rPr>
        <w:t xml:space="preserve">монографије </w:t>
      </w:r>
      <w:r w:rsidR="00217B7B" w:rsidRPr="00D243D7">
        <w:rPr>
          <w:rFonts w:ascii="Times New Roman" w:eastAsia="Calibri" w:hAnsi="Times New Roman" w:cs="Times New Roman"/>
          <w:noProof/>
          <w:sz w:val="24"/>
          <w:szCs w:val="24"/>
        </w:rPr>
        <w:t xml:space="preserve">Иване Митић </w:t>
      </w:r>
      <w:r w:rsidR="009150F4" w:rsidRPr="00D243D7">
        <w:rPr>
          <w:rFonts w:ascii="Times New Roman" w:hAnsi="Times New Roman"/>
          <w:noProof/>
          <w:sz w:val="24"/>
          <w:szCs w:val="24"/>
        </w:rPr>
        <w:t xml:space="preserve">који увелико мењају србистички поглед на принципе конруенције предиката с више кородинираних, посебно дисјунктивних субјеката, јесу </w:t>
      </w:r>
      <w:r w:rsidRPr="00D243D7">
        <w:rPr>
          <w:rFonts w:ascii="Times New Roman" w:hAnsi="Times New Roman"/>
          <w:noProof/>
          <w:sz w:val="24"/>
          <w:szCs w:val="24"/>
        </w:rPr>
        <w:t xml:space="preserve">следећа четири: </w:t>
      </w:r>
      <w:r w:rsidR="00217B7B" w:rsidRPr="00D243D7">
        <w:rPr>
          <w:rFonts w:ascii="Times New Roman" w:eastAsia="Calibri" w:hAnsi="Times New Roman" w:cs="Times New Roman"/>
          <w:noProof/>
          <w:sz w:val="24"/>
          <w:szCs w:val="24"/>
        </w:rPr>
        <w:t xml:space="preserve"> </w:t>
      </w:r>
    </w:p>
    <w:p w:rsidR="00217B7B" w:rsidRPr="00D243D7" w:rsidRDefault="00217B7B" w:rsidP="00D243D7">
      <w:pPr>
        <w:spacing w:after="0" w:line="240" w:lineRule="auto"/>
        <w:jc w:val="both"/>
        <w:rPr>
          <w:rFonts w:ascii="Times New Roman" w:eastAsia="Calibri" w:hAnsi="Times New Roman" w:cs="Times New Roman"/>
          <w:noProof/>
          <w:sz w:val="24"/>
          <w:szCs w:val="24"/>
        </w:rPr>
      </w:pPr>
      <w:r w:rsidRPr="00D243D7">
        <w:rPr>
          <w:rFonts w:ascii="Times New Roman" w:eastAsia="Calibri" w:hAnsi="Times New Roman" w:cs="Times New Roman"/>
          <w:noProof/>
          <w:sz w:val="24"/>
          <w:szCs w:val="24"/>
        </w:rPr>
        <w:t>1) линеарна и хијерархијска блискост одређују избор контролора слагања у оквиру исте граматике, а не у различитим граматикама реализованим у оквиру географске, социјалне и интерсубјекатске варијације;</w:t>
      </w:r>
    </w:p>
    <w:p w:rsidR="00217B7B" w:rsidRPr="00D243D7" w:rsidRDefault="00217B7B" w:rsidP="00D243D7">
      <w:pPr>
        <w:spacing w:after="0" w:line="240" w:lineRule="auto"/>
        <w:jc w:val="both"/>
        <w:rPr>
          <w:rFonts w:ascii="Times New Roman" w:eastAsia="Calibri" w:hAnsi="Times New Roman" w:cs="Times New Roman"/>
          <w:noProof/>
          <w:sz w:val="24"/>
          <w:szCs w:val="24"/>
        </w:rPr>
      </w:pPr>
      <w:r w:rsidRPr="00D243D7">
        <w:rPr>
          <w:rFonts w:ascii="Times New Roman" w:eastAsia="Calibri" w:hAnsi="Times New Roman" w:cs="Times New Roman"/>
          <w:noProof/>
          <w:sz w:val="24"/>
          <w:szCs w:val="24"/>
        </w:rPr>
        <w:t xml:space="preserve">2) линеарна блискост је фактор који утиче не само на избор последњег, већ и избор првог члана конјункције за контролора слагања; </w:t>
      </w:r>
    </w:p>
    <w:p w:rsidR="00217B7B" w:rsidRPr="00D243D7" w:rsidRDefault="00217B7B" w:rsidP="00D243D7">
      <w:pPr>
        <w:spacing w:after="0" w:line="240" w:lineRule="auto"/>
        <w:jc w:val="both"/>
        <w:rPr>
          <w:rFonts w:ascii="Times New Roman" w:eastAsia="Calibri" w:hAnsi="Times New Roman" w:cs="Times New Roman"/>
          <w:noProof/>
          <w:sz w:val="24"/>
          <w:szCs w:val="24"/>
        </w:rPr>
      </w:pPr>
      <w:r w:rsidRPr="00D243D7">
        <w:rPr>
          <w:rFonts w:ascii="Times New Roman" w:eastAsia="Calibri" w:hAnsi="Times New Roman" w:cs="Times New Roman"/>
          <w:noProof/>
          <w:sz w:val="24"/>
          <w:szCs w:val="24"/>
        </w:rPr>
        <w:t xml:space="preserve">3) род и број се одвојено репрезентују и одвојено слажу у српском језику; </w:t>
      </w:r>
    </w:p>
    <w:p w:rsidR="00217B7B" w:rsidRPr="00D243D7" w:rsidRDefault="00217B7B" w:rsidP="00D243D7">
      <w:pPr>
        <w:spacing w:after="0" w:line="240" w:lineRule="auto"/>
        <w:jc w:val="both"/>
        <w:rPr>
          <w:rFonts w:ascii="Times New Roman" w:hAnsi="Times New Roman"/>
          <w:noProof/>
          <w:sz w:val="24"/>
          <w:szCs w:val="24"/>
        </w:rPr>
      </w:pPr>
      <w:r w:rsidRPr="00D243D7">
        <w:rPr>
          <w:rFonts w:ascii="Times New Roman" w:eastAsia="Calibri" w:hAnsi="Times New Roman" w:cs="Times New Roman"/>
          <w:noProof/>
          <w:sz w:val="24"/>
          <w:szCs w:val="24"/>
        </w:rPr>
        <w:t>4) род може победити у конкуренцији са бројем приликом одређивања контролора слагања, поготову уколико је контролор за род члан женског рода.</w:t>
      </w:r>
    </w:p>
    <w:p w:rsidR="000008E2" w:rsidRPr="00D243D7" w:rsidRDefault="000008E2" w:rsidP="00D243D7">
      <w:pPr>
        <w:spacing w:after="0" w:line="240" w:lineRule="auto"/>
        <w:jc w:val="both"/>
        <w:rPr>
          <w:rFonts w:ascii="Times New Roman" w:hAnsi="Times New Roman"/>
          <w:noProof/>
          <w:sz w:val="24"/>
          <w:szCs w:val="24"/>
        </w:rPr>
      </w:pPr>
      <w:r w:rsidRPr="00D243D7">
        <w:rPr>
          <w:rFonts w:ascii="Times New Roman" w:hAnsi="Times New Roman"/>
          <w:noProof/>
          <w:sz w:val="24"/>
          <w:szCs w:val="24"/>
        </w:rPr>
        <w:t xml:space="preserve">   Кад се ти резултати упореде  са граматичким србистичким ставовима о предикатској конгруенцији не само са координираним дисјунктивним субјектима него и са координираним субјектима уопште, најбоље се види какав допринос србистичкој синтакси, посебно делу који се односи на конгруенцију</w:t>
      </w:r>
      <w:r w:rsidR="009150F4" w:rsidRPr="00D243D7">
        <w:rPr>
          <w:rFonts w:ascii="Times New Roman" w:hAnsi="Times New Roman"/>
          <w:noProof/>
          <w:sz w:val="24"/>
          <w:szCs w:val="24"/>
        </w:rPr>
        <w:t xml:space="preserve">, </w:t>
      </w:r>
      <w:r w:rsidRPr="00D243D7">
        <w:rPr>
          <w:rFonts w:ascii="Times New Roman" w:hAnsi="Times New Roman"/>
          <w:noProof/>
          <w:sz w:val="24"/>
          <w:szCs w:val="24"/>
        </w:rPr>
        <w:t xml:space="preserve"> представља  ова монографија Иване Митић.</w:t>
      </w:r>
    </w:p>
    <w:p w:rsidR="000008E2" w:rsidRPr="00D243D7" w:rsidRDefault="000008E2" w:rsidP="00D243D7">
      <w:pPr>
        <w:spacing w:after="0" w:line="240" w:lineRule="auto"/>
        <w:jc w:val="both"/>
        <w:rPr>
          <w:rFonts w:ascii="Times New Roman" w:eastAsia="Calibri" w:hAnsi="Times New Roman" w:cs="Times New Roman"/>
          <w:noProof/>
          <w:sz w:val="24"/>
          <w:szCs w:val="24"/>
        </w:rPr>
      </w:pPr>
      <w:r w:rsidRPr="00D243D7">
        <w:rPr>
          <w:rFonts w:ascii="Times New Roman" w:hAnsi="Times New Roman"/>
          <w:noProof/>
          <w:sz w:val="24"/>
          <w:szCs w:val="24"/>
        </w:rPr>
        <w:t xml:space="preserve">  </w:t>
      </w:r>
    </w:p>
    <w:p w:rsidR="009150F4" w:rsidRPr="00D243D7" w:rsidRDefault="009150F4" w:rsidP="00D243D7">
      <w:pPr>
        <w:tabs>
          <w:tab w:val="left" w:pos="3402"/>
        </w:tabs>
        <w:spacing w:after="0" w:line="240" w:lineRule="auto"/>
        <w:ind w:firstLine="709"/>
        <w:jc w:val="both"/>
        <w:rPr>
          <w:rFonts w:ascii="Times New Roman" w:eastAsia="Calibri" w:hAnsi="Times New Roman" w:cs="Times New Roman"/>
          <w:iCs/>
          <w:color w:val="222222"/>
          <w:sz w:val="24"/>
          <w:szCs w:val="24"/>
        </w:rPr>
      </w:pPr>
      <w:r w:rsidRPr="00D243D7">
        <w:rPr>
          <w:rFonts w:ascii="Times New Roman" w:eastAsia="Helvetica" w:hAnsi="Times New Roman"/>
          <w:sz w:val="24"/>
          <w:szCs w:val="24"/>
        </w:rPr>
        <w:t xml:space="preserve">Због тога са задовољством као врло вредно научно дело, које представља срећан споје теорије и емпирије, и доноси немале научне новости, предлажем </w:t>
      </w:r>
      <w:r w:rsidRPr="00D243D7">
        <w:rPr>
          <w:rFonts w:ascii="Times New Roman" w:eastAsia="Helvetica" w:hAnsi="Times New Roman"/>
          <w:b/>
          <w:sz w:val="24"/>
          <w:szCs w:val="24"/>
        </w:rPr>
        <w:t xml:space="preserve">да се што пре штампа </w:t>
      </w:r>
      <w:r w:rsidRPr="00D243D7">
        <w:rPr>
          <w:rFonts w:ascii="Times New Roman" w:eastAsia="Helvetica" w:hAnsi="Times New Roman"/>
          <w:sz w:val="24"/>
          <w:szCs w:val="24"/>
        </w:rPr>
        <w:t xml:space="preserve">монографија Иване Митић </w:t>
      </w:r>
      <w:r w:rsidRPr="00D243D7">
        <w:rPr>
          <w:rFonts w:ascii="Times New Roman" w:eastAsia="Calibri" w:hAnsi="Times New Roman" w:cs="Times New Roman"/>
          <w:i/>
          <w:iCs/>
          <w:color w:val="222222"/>
          <w:sz w:val="24"/>
          <w:szCs w:val="24"/>
        </w:rPr>
        <w:t>О КОНГРУЕН</w:t>
      </w:r>
      <w:r w:rsidRPr="00D243D7">
        <w:rPr>
          <w:rFonts w:ascii="Times New Roman" w:hAnsi="Times New Roman"/>
          <w:i/>
          <w:iCs/>
          <w:color w:val="222222"/>
          <w:sz w:val="24"/>
          <w:szCs w:val="24"/>
        </w:rPr>
        <w:t xml:space="preserve">ЦИЈИ ПРЕДИКАТА СА ДИСЈУНКТИВНИМ </w:t>
      </w:r>
      <w:r w:rsidRPr="00D243D7">
        <w:rPr>
          <w:rFonts w:ascii="Times New Roman" w:eastAsia="Calibri" w:hAnsi="Times New Roman" w:cs="Times New Roman"/>
          <w:i/>
          <w:iCs/>
          <w:color w:val="222222"/>
          <w:sz w:val="24"/>
          <w:szCs w:val="24"/>
        </w:rPr>
        <w:t xml:space="preserve">СУБЈЕКТОМ </w:t>
      </w:r>
      <w:r w:rsidRPr="00D243D7">
        <w:rPr>
          <w:rFonts w:ascii="Times New Roman" w:hAnsi="Times New Roman"/>
          <w:i/>
          <w:iCs/>
          <w:color w:val="222222"/>
          <w:sz w:val="24"/>
          <w:szCs w:val="24"/>
        </w:rPr>
        <w:t xml:space="preserve"> </w:t>
      </w:r>
      <w:r w:rsidRPr="00D243D7">
        <w:rPr>
          <w:rFonts w:ascii="Times New Roman" w:eastAsia="Calibri" w:hAnsi="Times New Roman" w:cs="Times New Roman"/>
          <w:i/>
          <w:iCs/>
          <w:color w:val="222222"/>
          <w:sz w:val="24"/>
          <w:szCs w:val="24"/>
        </w:rPr>
        <w:t xml:space="preserve">У СРПСКОМ ЈЕЗИКУ, </w:t>
      </w:r>
      <w:r w:rsidRPr="00D243D7">
        <w:rPr>
          <w:rFonts w:ascii="Times New Roman" w:eastAsia="Calibri" w:hAnsi="Times New Roman" w:cs="Times New Roman"/>
          <w:iCs/>
          <w:color w:val="222222"/>
          <w:sz w:val="24"/>
          <w:szCs w:val="24"/>
        </w:rPr>
        <w:t>како би њени резулта</w:t>
      </w:r>
      <w:r w:rsidR="002C1FE4" w:rsidRPr="00D243D7">
        <w:rPr>
          <w:rFonts w:ascii="Times New Roman" w:eastAsia="Calibri" w:hAnsi="Times New Roman" w:cs="Times New Roman"/>
          <w:iCs/>
          <w:color w:val="222222"/>
          <w:sz w:val="24"/>
          <w:szCs w:val="24"/>
        </w:rPr>
        <w:t>т</w:t>
      </w:r>
      <w:r w:rsidRPr="00D243D7">
        <w:rPr>
          <w:rFonts w:ascii="Times New Roman" w:eastAsia="Calibri" w:hAnsi="Times New Roman" w:cs="Times New Roman"/>
          <w:iCs/>
          <w:color w:val="222222"/>
          <w:sz w:val="24"/>
          <w:szCs w:val="24"/>
        </w:rPr>
        <w:t>и били доступни широј научној и стручној лингвистичкој и</w:t>
      </w:r>
      <w:r w:rsidR="00CF6790">
        <w:rPr>
          <w:rFonts w:ascii="Times New Roman" w:eastAsia="Calibri" w:hAnsi="Times New Roman" w:cs="Times New Roman"/>
          <w:iCs/>
          <w:color w:val="222222"/>
          <w:sz w:val="24"/>
          <w:szCs w:val="24"/>
          <w:lang w:val="sr-Cyrl-CS"/>
        </w:rPr>
        <w:t xml:space="preserve"> посебно </w:t>
      </w:r>
      <w:r w:rsidRPr="00D243D7">
        <w:rPr>
          <w:rFonts w:ascii="Times New Roman" w:eastAsia="Calibri" w:hAnsi="Times New Roman" w:cs="Times New Roman"/>
          <w:iCs/>
          <w:color w:val="222222"/>
          <w:sz w:val="24"/>
          <w:szCs w:val="24"/>
        </w:rPr>
        <w:t xml:space="preserve"> србистичкој јавности.</w:t>
      </w:r>
    </w:p>
    <w:p w:rsidR="009150F4" w:rsidRDefault="009150F4" w:rsidP="00E74F4C">
      <w:pPr>
        <w:tabs>
          <w:tab w:val="left" w:pos="3402"/>
        </w:tabs>
        <w:spacing w:after="0" w:line="240" w:lineRule="auto"/>
        <w:ind w:firstLine="709"/>
        <w:jc w:val="both"/>
        <w:rPr>
          <w:rFonts w:ascii="Times New Roman" w:eastAsia="Calibri" w:hAnsi="Times New Roman" w:cs="Times New Roman"/>
          <w:iCs/>
          <w:color w:val="222222"/>
          <w:sz w:val="24"/>
          <w:szCs w:val="24"/>
        </w:rPr>
      </w:pPr>
    </w:p>
    <w:p w:rsidR="00217B7B" w:rsidRPr="00E62BDD" w:rsidRDefault="009150F4" w:rsidP="00E74F4C">
      <w:pPr>
        <w:tabs>
          <w:tab w:val="left" w:pos="3402"/>
        </w:tabs>
        <w:spacing w:after="0" w:line="240" w:lineRule="auto"/>
        <w:ind w:firstLine="709"/>
        <w:jc w:val="both"/>
        <w:rPr>
          <w:rFonts w:ascii="Times New Roman" w:eastAsia="Calibri" w:hAnsi="Times New Roman" w:cs="Times New Roman"/>
          <w:color w:val="000000"/>
        </w:rPr>
      </w:pPr>
      <w:r>
        <w:rPr>
          <w:rFonts w:ascii="Times New Roman" w:eastAsia="Calibri" w:hAnsi="Times New Roman" w:cs="Times New Roman"/>
          <w:iCs/>
          <w:color w:val="222222"/>
          <w:sz w:val="24"/>
          <w:szCs w:val="24"/>
        </w:rPr>
        <w:t xml:space="preserve">Београд, 5. 10. 2023.                                           Милош Ковачевић  </w:t>
      </w:r>
      <w:r>
        <w:rPr>
          <w:rFonts w:ascii="Times New Roman" w:eastAsia="Calibri" w:hAnsi="Times New Roman" w:cs="Times New Roman"/>
          <w:i/>
          <w:iCs/>
          <w:color w:val="222222"/>
          <w:sz w:val="24"/>
          <w:szCs w:val="24"/>
        </w:rPr>
        <w:t xml:space="preserve"> </w:t>
      </w:r>
    </w:p>
    <w:p w:rsidR="000349FB" w:rsidRPr="00B13EC6" w:rsidRDefault="00B13EC6" w:rsidP="003A1441">
      <w:pPr>
        <w:pStyle w:val="NoSpacing"/>
        <w:ind w:firstLine="720"/>
        <w:jc w:val="both"/>
        <w:rPr>
          <w:rFonts w:ascii="Times New Roman" w:hAnsi="Times New Roman"/>
          <w:color w:val="000000"/>
          <w:sz w:val="24"/>
          <w:szCs w:val="24"/>
        </w:rPr>
      </w:pPr>
      <w:r>
        <w:rPr>
          <w:rFonts w:ascii="Times New Roman" w:hAnsi="Times New Roman"/>
          <w:color w:val="000000"/>
          <w:sz w:val="24"/>
          <w:szCs w:val="24"/>
        </w:rPr>
        <w:t xml:space="preserve"> </w:t>
      </w:r>
      <w:r w:rsidR="003A1441" w:rsidRPr="00B13EC6">
        <w:rPr>
          <w:rFonts w:ascii="Times New Roman" w:hAnsi="Times New Roman"/>
          <w:color w:val="000000"/>
          <w:sz w:val="24"/>
          <w:szCs w:val="24"/>
        </w:rPr>
        <w:t xml:space="preserve"> </w:t>
      </w:r>
      <w:r w:rsidR="007D798F">
        <w:rPr>
          <w:rFonts w:ascii="Times New Roman" w:hAnsi="Times New Roman"/>
          <w:color w:val="000000"/>
          <w:sz w:val="24"/>
          <w:szCs w:val="24"/>
        </w:rPr>
        <w:t xml:space="preserve">                                                          </w:t>
      </w:r>
      <w:r w:rsidR="000349FB" w:rsidRPr="00B13EC6">
        <w:rPr>
          <w:sz w:val="24"/>
          <w:szCs w:val="24"/>
          <w:lang w:val="sr-Cyrl-CS"/>
        </w:rPr>
        <w:t xml:space="preserve"> </w:t>
      </w:r>
      <w:r w:rsidR="007D798F">
        <w:rPr>
          <w:noProof/>
          <w:sz w:val="24"/>
          <w:szCs w:val="24"/>
          <w:lang w:val="en-US" w:eastAsia="en-US"/>
        </w:rPr>
        <w:drawing>
          <wp:inline distT="0" distB="0" distL="0" distR="0">
            <wp:extent cx="2556510" cy="791845"/>
            <wp:effectExtent l="19050" t="0" r="0" b="0"/>
            <wp:docPr id="1" name="Picture 1" descr="C:\Users\Milos Kovacevic\Desktop\my documents\Moj CV\Skeniran potpis moj\IMG_20160227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os Kovacevic\Desktop\my documents\Moj CV\Skeniran potpis moj\IMG_20160227_0001.jpg"/>
                    <pic:cNvPicPr>
                      <a:picLocks noChangeAspect="1" noChangeArrowheads="1"/>
                    </pic:cNvPicPr>
                  </pic:nvPicPr>
                  <pic:blipFill>
                    <a:blip r:embed="rId5" cstate="print"/>
                    <a:srcRect/>
                    <a:stretch>
                      <a:fillRect/>
                    </a:stretch>
                  </pic:blipFill>
                  <pic:spPr bwMode="auto">
                    <a:xfrm>
                      <a:off x="0" y="0"/>
                      <a:ext cx="2556510" cy="791845"/>
                    </a:xfrm>
                    <a:prstGeom prst="rect">
                      <a:avLst/>
                    </a:prstGeom>
                    <a:noFill/>
                    <a:ln w="9525">
                      <a:noFill/>
                      <a:miter lim="800000"/>
                      <a:headEnd/>
                      <a:tailEnd/>
                    </a:ln>
                  </pic:spPr>
                </pic:pic>
              </a:graphicData>
            </a:graphic>
          </wp:inline>
        </w:drawing>
      </w:r>
    </w:p>
    <w:sectPr w:rsidR="000349FB" w:rsidRPr="00B13EC6" w:rsidSect="00FE11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A1F"/>
    <w:rsid w:val="000008E2"/>
    <w:rsid w:val="000349FB"/>
    <w:rsid w:val="00106A1F"/>
    <w:rsid w:val="00217B7B"/>
    <w:rsid w:val="00231EFC"/>
    <w:rsid w:val="002C1FE4"/>
    <w:rsid w:val="003A1441"/>
    <w:rsid w:val="00456BE0"/>
    <w:rsid w:val="004E515F"/>
    <w:rsid w:val="00510877"/>
    <w:rsid w:val="00600AD6"/>
    <w:rsid w:val="006645D9"/>
    <w:rsid w:val="00673434"/>
    <w:rsid w:val="006B793C"/>
    <w:rsid w:val="007D798F"/>
    <w:rsid w:val="008C63CD"/>
    <w:rsid w:val="009150F4"/>
    <w:rsid w:val="009F4673"/>
    <w:rsid w:val="00A74214"/>
    <w:rsid w:val="00A763ED"/>
    <w:rsid w:val="00AD30DF"/>
    <w:rsid w:val="00B13EC6"/>
    <w:rsid w:val="00B51D1B"/>
    <w:rsid w:val="00B611FC"/>
    <w:rsid w:val="00C930C9"/>
    <w:rsid w:val="00CF6790"/>
    <w:rsid w:val="00D14AC3"/>
    <w:rsid w:val="00D243D7"/>
    <w:rsid w:val="00DD2141"/>
    <w:rsid w:val="00E62BDD"/>
    <w:rsid w:val="00E74F4C"/>
    <w:rsid w:val="00EF698B"/>
    <w:rsid w:val="00F33099"/>
    <w:rsid w:val="00FE11F0"/>
    <w:rsid w:val="00FE11F5"/>
  </w:rsids>
  <m:mathPr>
    <m:mathFont m:val="Cambria Math"/>
    <m:brkBin m:val="before"/>
    <m:brkBinSub m:val="--"/>
    <m:smallFrac/>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8C63CD"/>
    <w:pPr>
      <w:spacing w:after="0" w:line="240" w:lineRule="auto"/>
    </w:pPr>
    <w:rPr>
      <w:rFonts w:ascii="Calibri" w:eastAsia="Calibri" w:hAnsi="Calibri" w:cs="Times New Roman"/>
      <w:sz w:val="20"/>
      <w:szCs w:val="20"/>
      <w:lang w:val="de-AT" w:eastAsia="de-AT"/>
    </w:rPr>
  </w:style>
  <w:style w:type="character" w:customStyle="1" w:styleId="NoSpacingChar">
    <w:name w:val="No Spacing Char"/>
    <w:link w:val="NoSpacing"/>
    <w:rsid w:val="008C63CD"/>
    <w:rPr>
      <w:rFonts w:ascii="Calibri" w:eastAsia="Calibri" w:hAnsi="Calibri" w:cs="Times New Roman"/>
      <w:sz w:val="20"/>
      <w:szCs w:val="20"/>
      <w:lang w:val="de-AT" w:eastAsia="de-AT"/>
    </w:rPr>
  </w:style>
  <w:style w:type="character" w:customStyle="1" w:styleId="markedcontent">
    <w:name w:val="markedcontent"/>
    <w:rsid w:val="00E74F4C"/>
  </w:style>
  <w:style w:type="paragraph" w:styleId="BalloonText">
    <w:name w:val="Balloon Text"/>
    <w:basedOn w:val="Normal"/>
    <w:link w:val="BalloonTextChar"/>
    <w:uiPriority w:val="99"/>
    <w:semiHidden/>
    <w:unhideWhenUsed/>
    <w:rsid w:val="007D79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79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8C63CD"/>
    <w:pPr>
      <w:spacing w:after="0" w:line="240" w:lineRule="auto"/>
    </w:pPr>
    <w:rPr>
      <w:rFonts w:ascii="Calibri" w:eastAsia="Calibri" w:hAnsi="Calibri" w:cs="Times New Roman"/>
      <w:sz w:val="20"/>
      <w:szCs w:val="20"/>
      <w:lang w:val="de-AT" w:eastAsia="de-AT"/>
    </w:rPr>
  </w:style>
  <w:style w:type="character" w:customStyle="1" w:styleId="NoSpacingChar">
    <w:name w:val="No Spacing Char"/>
    <w:link w:val="NoSpacing"/>
    <w:rsid w:val="008C63CD"/>
    <w:rPr>
      <w:rFonts w:ascii="Calibri" w:eastAsia="Calibri" w:hAnsi="Calibri" w:cs="Times New Roman"/>
      <w:sz w:val="20"/>
      <w:szCs w:val="20"/>
      <w:lang w:val="de-AT" w:eastAsia="de-AT"/>
    </w:rPr>
  </w:style>
  <w:style w:type="character" w:customStyle="1" w:styleId="markedcontent">
    <w:name w:val="markedcontent"/>
    <w:rsid w:val="00E74F4C"/>
  </w:style>
  <w:style w:type="paragraph" w:styleId="BalloonText">
    <w:name w:val="Balloon Text"/>
    <w:basedOn w:val="Normal"/>
    <w:link w:val="BalloonTextChar"/>
    <w:uiPriority w:val="99"/>
    <w:semiHidden/>
    <w:unhideWhenUsed/>
    <w:rsid w:val="007D79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79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2078</Words>
  <Characters>11846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13897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Milos Kovacevic</dc:creator>
  <cp:lastModifiedBy>Korisnik</cp:lastModifiedBy>
  <cp:revision>2</cp:revision>
  <dcterms:created xsi:type="dcterms:W3CDTF">2023-10-17T08:59:00Z</dcterms:created>
  <dcterms:modified xsi:type="dcterms:W3CDTF">2023-10-17T08:59:00Z</dcterms:modified>
</cp:coreProperties>
</file>